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1FE06">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pPr>
      <w:r>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t>辽宁省地方标准《</w:t>
      </w:r>
      <w:r>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t>媒介生物综合管理</w:t>
      </w:r>
    </w:p>
    <w:p w14:paraId="2253CA71">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pPr>
      <w:r>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t>技术规范 蚊虫防制</w:t>
      </w:r>
      <w:r>
        <w:rPr>
          <w:rFonts w:hint="eastAsia" w:ascii="Times New Roman" w:hAnsi="Times New Roman" w:eastAsia="方正小标宋简体" w:cs="Times New Roman"/>
          <w:b w:val="0"/>
          <w:bCs w:val="0"/>
          <w:i w:val="0"/>
          <w:iCs w:val="0"/>
          <w:snapToGrid/>
          <w:color w:val="auto"/>
          <w:kern w:val="2"/>
          <w:sz w:val="44"/>
          <w:szCs w:val="44"/>
          <w:highlight w:val="none"/>
          <w:lang w:val="en-US" w:eastAsia="zh-CN"/>
        </w:rPr>
        <w:t>》编制说明</w:t>
      </w:r>
    </w:p>
    <w:p w14:paraId="3FCE28B2">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default" w:ascii="Times New Roman" w:hAnsi="Times New Roman" w:eastAsia="方正小标宋简体" w:cs="Times New Roman"/>
          <w:b w:val="0"/>
          <w:bCs w:val="0"/>
          <w:i w:val="0"/>
          <w:iCs w:val="0"/>
          <w:snapToGrid/>
          <w:color w:val="auto"/>
          <w:kern w:val="2"/>
          <w:sz w:val="44"/>
          <w:szCs w:val="44"/>
          <w:highlight w:val="none"/>
          <w:lang w:val="en-US" w:eastAsia="zh-CN"/>
        </w:rPr>
      </w:pPr>
    </w:p>
    <w:p w14:paraId="08A6118C">
      <w:pPr>
        <w:keepNext w:val="0"/>
        <w:keepLines w:val="0"/>
        <w:pageBreakBefore w:val="0"/>
        <w:wordWrap/>
        <w:overflowPunct/>
        <w:topLinePunct w:val="0"/>
        <w:bidi w:val="0"/>
        <w:spacing w:line="600" w:lineRule="exact"/>
        <w:ind w:firstLine="640" w:firstLineChars="200"/>
        <w:rPr>
          <w:rFonts w:hint="eastAsia" w:cs="仿宋_GB2312"/>
          <w:highlight w:val="none"/>
        </w:rPr>
      </w:pPr>
      <w:r>
        <w:rPr>
          <w:rFonts w:hint="eastAsia" w:ascii="黑体" w:hAnsi="黑体" w:eastAsia="黑体" w:cs="黑体"/>
          <w:highlight w:val="none"/>
        </w:rPr>
        <w:t>一、工作简介</w:t>
      </w:r>
    </w:p>
    <w:p w14:paraId="6D553B72">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Times New Roman" w:hAnsi="Times New Roman" w:eastAsia="楷体" w:cs="Times New Roman"/>
          <w:b w:val="0"/>
          <w:bCs w:val="0"/>
          <w:snapToGrid/>
          <w:color w:val="000000"/>
          <w:kern w:val="0"/>
          <w:sz w:val="32"/>
          <w:szCs w:val="32"/>
          <w:highlight w:val="none"/>
          <w:lang w:val="en-US" w:eastAsia="zh-CN"/>
        </w:rPr>
      </w:pPr>
      <w:r>
        <w:rPr>
          <w:rFonts w:hint="eastAsia" w:ascii="Times New Roman" w:hAnsi="Times New Roman" w:eastAsia="楷体" w:cs="Times New Roman"/>
          <w:b w:val="0"/>
          <w:bCs w:val="0"/>
          <w:snapToGrid/>
          <w:color w:val="000000"/>
          <w:kern w:val="0"/>
          <w:sz w:val="32"/>
          <w:szCs w:val="32"/>
          <w:highlight w:val="none"/>
          <w:lang w:val="en-US" w:eastAsia="zh-CN"/>
        </w:rPr>
        <w:t>（一）任务来源</w:t>
      </w:r>
    </w:p>
    <w:p w14:paraId="172CBAE6">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both"/>
        <w:textAlignment w:val="baseline"/>
        <w:rPr>
          <w:rFonts w:hint="default" w:ascii="Times New Roman" w:hAnsi="Times New Roman" w:eastAsia="仿宋" w:cs="Times New Roman"/>
          <w:snapToGrid/>
          <w:color w:val="000000"/>
          <w:kern w:val="0"/>
          <w:sz w:val="32"/>
          <w:szCs w:val="32"/>
          <w:highlight w:val="none"/>
          <w:lang w:val="en-US" w:eastAsia="zh-CN"/>
        </w:rPr>
      </w:pPr>
      <w:r>
        <w:rPr>
          <w:rFonts w:hint="default" w:ascii="Times New Roman" w:hAnsi="Times New Roman" w:eastAsia="仿宋" w:cs="Times New Roman"/>
          <w:snapToGrid/>
          <w:color w:val="000000"/>
          <w:kern w:val="0"/>
          <w:sz w:val="32"/>
          <w:szCs w:val="32"/>
          <w:highlight w:val="none"/>
          <w:lang w:val="en-US" w:eastAsia="zh-CN"/>
        </w:rPr>
        <w:t>根据《辽宁省市场监督管理局关于印发</w:t>
      </w:r>
      <w:r>
        <w:rPr>
          <w:rFonts w:hint="eastAsia" w:eastAsia="仿宋" w:cs="Times New Roman"/>
          <w:snapToGrid/>
          <w:color w:val="000000"/>
          <w:kern w:val="0"/>
          <w:sz w:val="32"/>
          <w:szCs w:val="32"/>
          <w:highlight w:val="none"/>
          <w:lang w:val="en-US" w:eastAsia="zh-CN"/>
        </w:rPr>
        <w:t>2025</w:t>
      </w:r>
      <w:r>
        <w:rPr>
          <w:rFonts w:hint="default" w:ascii="Times New Roman" w:hAnsi="Times New Roman" w:eastAsia="仿宋" w:cs="Times New Roman"/>
          <w:snapToGrid/>
          <w:color w:val="000000"/>
          <w:kern w:val="0"/>
          <w:sz w:val="32"/>
          <w:szCs w:val="32"/>
          <w:highlight w:val="none"/>
          <w:lang w:val="en-US" w:eastAsia="zh-CN"/>
        </w:rPr>
        <w:t>年辽宁省地方标准立项计划的通知》（辽市监发〔</w:t>
      </w:r>
      <w:r>
        <w:rPr>
          <w:rFonts w:hint="eastAsia" w:eastAsia="仿宋" w:cs="Times New Roman"/>
          <w:snapToGrid/>
          <w:color w:val="000000"/>
          <w:kern w:val="0"/>
          <w:sz w:val="32"/>
          <w:szCs w:val="32"/>
          <w:highlight w:val="none"/>
          <w:lang w:val="en-US" w:eastAsia="zh-CN"/>
        </w:rPr>
        <w:t>2025</w:t>
      </w:r>
      <w:r>
        <w:rPr>
          <w:rFonts w:hint="default" w:ascii="Times New Roman" w:hAnsi="Times New Roman" w:eastAsia="仿宋" w:cs="Times New Roman"/>
          <w:snapToGrid/>
          <w:color w:val="000000"/>
          <w:kern w:val="0"/>
          <w:sz w:val="32"/>
          <w:szCs w:val="32"/>
          <w:highlight w:val="none"/>
          <w:lang w:val="en-US" w:eastAsia="zh-CN"/>
        </w:rPr>
        <w:t>〕</w:t>
      </w:r>
      <w:r>
        <w:rPr>
          <w:rFonts w:hint="eastAsia" w:eastAsia="仿宋" w:cs="Times New Roman"/>
          <w:snapToGrid/>
          <w:color w:val="000000"/>
          <w:kern w:val="0"/>
          <w:sz w:val="32"/>
          <w:szCs w:val="32"/>
          <w:highlight w:val="none"/>
          <w:lang w:val="en-US" w:eastAsia="zh-CN"/>
        </w:rPr>
        <w:t>28</w:t>
      </w:r>
      <w:r>
        <w:rPr>
          <w:rFonts w:hint="default" w:ascii="Times New Roman" w:hAnsi="Times New Roman" w:eastAsia="仿宋" w:cs="Times New Roman"/>
          <w:snapToGrid/>
          <w:color w:val="000000"/>
          <w:kern w:val="0"/>
          <w:sz w:val="32"/>
          <w:szCs w:val="32"/>
          <w:highlight w:val="none"/>
          <w:lang w:val="en-US" w:eastAsia="zh-CN"/>
        </w:rPr>
        <w:t>号），批准《</w:t>
      </w:r>
      <w:bookmarkStart w:id="11" w:name="_GoBack"/>
      <w:bookmarkEnd w:id="11"/>
      <w:r>
        <w:rPr>
          <w:rFonts w:hint="default" w:ascii="Times New Roman" w:hAnsi="Times New Roman" w:eastAsia="仿宋" w:cs="Times New Roman"/>
          <w:snapToGrid/>
          <w:color w:val="000000"/>
          <w:kern w:val="0"/>
          <w:sz w:val="32"/>
          <w:szCs w:val="32"/>
          <w:highlight w:val="none"/>
          <w:lang w:val="en-US" w:eastAsia="zh-CN"/>
        </w:rPr>
        <w:t xml:space="preserve">媒介生物综合管理技术规范 </w:t>
      </w:r>
      <w:r>
        <w:rPr>
          <w:rFonts w:hint="eastAsia" w:eastAsia="仿宋" w:cs="Times New Roman"/>
          <w:snapToGrid/>
          <w:color w:val="000000"/>
          <w:kern w:val="0"/>
          <w:sz w:val="32"/>
          <w:szCs w:val="32"/>
          <w:highlight w:val="none"/>
          <w:lang w:val="en-US" w:eastAsia="zh-CN"/>
        </w:rPr>
        <w:t>蚊虫</w:t>
      </w:r>
      <w:r>
        <w:rPr>
          <w:rFonts w:hint="default" w:ascii="Times New Roman" w:hAnsi="Times New Roman" w:eastAsia="仿宋" w:cs="Times New Roman"/>
          <w:snapToGrid/>
          <w:color w:val="000000"/>
          <w:kern w:val="0"/>
          <w:sz w:val="32"/>
          <w:szCs w:val="32"/>
          <w:highlight w:val="none"/>
          <w:lang w:val="en-US" w:eastAsia="zh-CN"/>
        </w:rPr>
        <w:t>防制》作为202</w:t>
      </w:r>
      <w:r>
        <w:rPr>
          <w:rFonts w:hint="eastAsia" w:eastAsia="仿宋" w:cs="Times New Roman"/>
          <w:snapToGrid/>
          <w:color w:val="000000"/>
          <w:kern w:val="0"/>
          <w:sz w:val="32"/>
          <w:szCs w:val="32"/>
          <w:highlight w:val="none"/>
          <w:lang w:val="en-US" w:eastAsia="zh-CN"/>
        </w:rPr>
        <w:t>5</w:t>
      </w:r>
      <w:r>
        <w:rPr>
          <w:rFonts w:hint="default" w:ascii="Times New Roman" w:hAnsi="Times New Roman" w:eastAsia="仿宋" w:cs="Times New Roman"/>
          <w:snapToGrid/>
          <w:color w:val="000000"/>
          <w:kern w:val="0"/>
          <w:sz w:val="32"/>
          <w:szCs w:val="32"/>
          <w:highlight w:val="none"/>
          <w:lang w:val="en-US" w:eastAsia="zh-CN"/>
        </w:rPr>
        <w:t>年辽宁省地方标准立项项目，立项编号为202</w:t>
      </w:r>
      <w:r>
        <w:rPr>
          <w:rFonts w:hint="eastAsia" w:eastAsia="仿宋" w:cs="Times New Roman"/>
          <w:snapToGrid/>
          <w:color w:val="000000"/>
          <w:kern w:val="0"/>
          <w:sz w:val="32"/>
          <w:szCs w:val="32"/>
          <w:highlight w:val="none"/>
          <w:lang w:val="en-US" w:eastAsia="zh-CN"/>
        </w:rPr>
        <w:t>5128</w:t>
      </w:r>
      <w:r>
        <w:rPr>
          <w:rFonts w:hint="default" w:ascii="Times New Roman" w:hAnsi="Times New Roman" w:eastAsia="仿宋" w:cs="Times New Roman"/>
          <w:snapToGrid/>
          <w:color w:val="000000"/>
          <w:kern w:val="0"/>
          <w:sz w:val="32"/>
          <w:szCs w:val="32"/>
          <w:highlight w:val="none"/>
          <w:lang w:val="en-US" w:eastAsia="zh-CN"/>
        </w:rPr>
        <w:t>，由辽宁省疾病预防控制中心组织起草，辽宁省卫生健康委员会归口，任务来源明确。</w:t>
      </w:r>
    </w:p>
    <w:p w14:paraId="42F82249">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Times New Roman" w:hAnsi="Times New Roman" w:eastAsia="楷体" w:cs="Times New Roman"/>
          <w:b w:val="0"/>
          <w:bCs w:val="0"/>
          <w:snapToGrid/>
          <w:color w:val="000000"/>
          <w:kern w:val="0"/>
          <w:sz w:val="32"/>
          <w:szCs w:val="32"/>
          <w:highlight w:val="none"/>
          <w:lang w:val="en-US" w:eastAsia="zh-CN"/>
        </w:rPr>
      </w:pPr>
      <w:r>
        <w:rPr>
          <w:rFonts w:hint="eastAsia" w:ascii="Times New Roman" w:hAnsi="Times New Roman" w:eastAsia="楷体" w:cs="Times New Roman"/>
          <w:b w:val="0"/>
          <w:bCs w:val="0"/>
          <w:snapToGrid/>
          <w:color w:val="000000"/>
          <w:kern w:val="0"/>
          <w:sz w:val="32"/>
          <w:szCs w:val="32"/>
          <w:highlight w:val="none"/>
          <w:lang w:val="en-US" w:eastAsia="zh-CN"/>
        </w:rPr>
        <w:t>（二）制定标准的必要性和意义</w:t>
      </w:r>
    </w:p>
    <w:p w14:paraId="42D57EED">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both"/>
        <w:textAlignment w:val="baseline"/>
        <w:rPr>
          <w:rFonts w:hint="eastAsia" w:ascii="Times New Roman" w:hAnsi="Times New Roman" w:eastAsia="仿宋" w:cs="Times New Roman"/>
          <w:snapToGrid/>
          <w:color w:val="000000"/>
          <w:kern w:val="0"/>
          <w:sz w:val="32"/>
          <w:szCs w:val="32"/>
          <w:highlight w:val="none"/>
          <w:lang w:val="en-US" w:eastAsia="zh-CN"/>
        </w:rPr>
      </w:pPr>
      <w:r>
        <w:rPr>
          <w:rFonts w:hint="eastAsia" w:ascii="Times New Roman" w:hAnsi="Times New Roman" w:eastAsia="仿宋" w:cs="Times New Roman"/>
          <w:snapToGrid/>
          <w:color w:val="000000"/>
          <w:kern w:val="0"/>
          <w:sz w:val="32"/>
          <w:szCs w:val="32"/>
          <w:highlight w:val="none"/>
          <w:lang w:val="en-US" w:eastAsia="zh-CN"/>
        </w:rPr>
        <w:t>1.</w:t>
      </w:r>
      <w:r>
        <w:rPr>
          <w:rFonts w:hint="eastAsia" w:ascii="Times New Roman" w:hAnsi="Times New Roman" w:eastAsia="仿宋" w:cs="Times New Roman"/>
          <w:snapToGrid/>
          <w:color w:val="000000"/>
          <w:kern w:val="0"/>
          <w:sz w:val="32"/>
          <w:szCs w:val="32"/>
          <w:highlight w:val="none"/>
          <w:lang w:eastAsia="zh-CN"/>
        </w:rPr>
        <w:t>制定标准的必要性：</w:t>
      </w:r>
      <w:r>
        <w:rPr>
          <w:rFonts w:hint="eastAsia" w:ascii="Times New Roman" w:hAnsi="Times New Roman" w:eastAsia="仿宋" w:cs="Times New Roman"/>
          <w:snapToGrid/>
          <w:color w:val="000000"/>
          <w:kern w:val="0"/>
          <w:sz w:val="32"/>
          <w:szCs w:val="32"/>
          <w:highlight w:val="none"/>
          <w:lang w:val="en-US" w:eastAsia="zh-CN"/>
        </w:rPr>
        <w:t>随着全球变暖，一些过去对蚊虫而言过于寒冷的地区可能会成为它们的舒适区，有些种类的蚊虫其分布范围逐渐扩大，如辽宁省内</w:t>
      </w:r>
      <w:r>
        <w:rPr>
          <w:rFonts w:hint="eastAsia" w:eastAsia="仿宋" w:cs="Times New Roman"/>
          <w:snapToGrid/>
          <w:color w:val="000000"/>
          <w:kern w:val="0"/>
          <w:sz w:val="32"/>
          <w:szCs w:val="32"/>
          <w:highlight w:val="none"/>
          <w:lang w:val="en-US" w:eastAsia="zh-CN"/>
        </w:rPr>
        <w:t>白纹伊蚊</w:t>
      </w:r>
      <w:r>
        <w:rPr>
          <w:rFonts w:hint="eastAsia" w:ascii="Times New Roman" w:hAnsi="Times New Roman" w:eastAsia="仿宋" w:cs="Times New Roman"/>
          <w:snapToGrid/>
          <w:color w:val="000000"/>
          <w:kern w:val="0"/>
          <w:sz w:val="32"/>
          <w:szCs w:val="32"/>
          <w:highlight w:val="none"/>
          <w:lang w:val="en-US" w:eastAsia="zh-CN"/>
        </w:rPr>
        <w:t>的分布范围逐渐扩大。蚊虫不仅叮咬恼人，还是病毒的传播媒介，近年来蚊传疾病感染患者逐渐增多，因此做好蚊虫的防制尤为重要。为更好</w:t>
      </w:r>
      <w:r>
        <w:rPr>
          <w:rFonts w:hint="eastAsia" w:eastAsia="仿宋" w:cs="Times New Roman"/>
          <w:snapToGrid/>
          <w:color w:val="000000"/>
          <w:kern w:val="0"/>
          <w:sz w:val="32"/>
          <w:szCs w:val="32"/>
          <w:highlight w:val="none"/>
          <w:lang w:val="en-US" w:eastAsia="zh-CN"/>
        </w:rPr>
        <w:t>更</w:t>
      </w:r>
      <w:r>
        <w:rPr>
          <w:rFonts w:hint="eastAsia" w:ascii="Times New Roman" w:hAnsi="Times New Roman" w:eastAsia="仿宋" w:cs="Times New Roman"/>
          <w:snapToGrid/>
          <w:color w:val="000000"/>
          <w:kern w:val="0"/>
          <w:sz w:val="32"/>
          <w:szCs w:val="32"/>
          <w:highlight w:val="none"/>
          <w:lang w:val="en-US" w:eastAsia="zh-CN"/>
        </w:rPr>
        <w:t>有效的防制蚊虫问题，有必要编撰关于蚊虫防制的相关标准。</w:t>
      </w:r>
    </w:p>
    <w:p w14:paraId="5AD3F956">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both"/>
        <w:textAlignment w:val="baseline"/>
        <w:rPr>
          <w:rFonts w:hint="eastAsia" w:ascii="Times New Roman" w:hAnsi="Times New Roman" w:eastAsia="仿宋" w:cs="Times New Roman"/>
          <w:snapToGrid/>
          <w:color w:val="000000"/>
          <w:kern w:val="0"/>
          <w:sz w:val="32"/>
          <w:szCs w:val="32"/>
          <w:highlight w:val="none"/>
          <w:lang w:val="en-US" w:eastAsia="zh-CN"/>
        </w:rPr>
      </w:pPr>
      <w:r>
        <w:rPr>
          <w:rFonts w:hint="eastAsia" w:ascii="Times New Roman" w:hAnsi="Times New Roman" w:eastAsia="仿宋" w:cs="Times New Roman"/>
          <w:snapToGrid/>
          <w:color w:val="000000"/>
          <w:kern w:val="0"/>
          <w:sz w:val="32"/>
          <w:szCs w:val="32"/>
          <w:highlight w:val="none"/>
          <w:lang w:val="en-US" w:eastAsia="zh-CN"/>
        </w:rPr>
        <w:t>2.制定标准的意义：“</w:t>
      </w:r>
      <w:r>
        <w:rPr>
          <w:rFonts w:hint="eastAsia" w:ascii="Times New Roman" w:hAnsi="Times New Roman" w:eastAsia="仿宋" w:cs="Times New Roman"/>
          <w:snapToGrid/>
          <w:color w:val="000000"/>
          <w:kern w:val="0"/>
          <w:sz w:val="32"/>
          <w:szCs w:val="32"/>
          <w:highlight w:val="none"/>
          <w:lang w:val="en-US" w:eastAsia="zh-CN"/>
        </w:rPr>
        <w:t>媒介生物综合管理技术规范 蚊虫防制</w:t>
      </w:r>
      <w:r>
        <w:rPr>
          <w:rFonts w:hint="eastAsia" w:ascii="Times New Roman" w:hAnsi="Times New Roman" w:eastAsia="仿宋" w:cs="Times New Roman"/>
          <w:snapToGrid/>
          <w:color w:val="000000"/>
          <w:kern w:val="0"/>
          <w:sz w:val="32"/>
          <w:szCs w:val="32"/>
          <w:highlight w:val="none"/>
          <w:lang w:val="en-US" w:eastAsia="zh-CN"/>
        </w:rPr>
        <w:t>”标准的编撰主要是为了本省在蚊虫防制过程中有明确的标准和概念，在日常管理过程中对蚊虫的控制方法掌握的更加全面，更加细致的了解的防蚊技术规程</w:t>
      </w:r>
      <w:r>
        <w:rPr>
          <w:rFonts w:hint="eastAsia" w:eastAsia="仿宋" w:cs="Times New Roman"/>
          <w:snapToGrid/>
          <w:color w:val="000000"/>
          <w:kern w:val="0"/>
          <w:sz w:val="32"/>
          <w:szCs w:val="32"/>
          <w:highlight w:val="none"/>
          <w:lang w:val="en-US" w:eastAsia="zh-CN"/>
        </w:rPr>
        <w:t>。</w:t>
      </w:r>
      <w:r>
        <w:rPr>
          <w:rFonts w:hint="eastAsia" w:ascii="Times New Roman" w:hAnsi="Times New Roman" w:eastAsia="仿宋" w:cs="Times New Roman"/>
          <w:snapToGrid/>
          <w:color w:val="000000"/>
          <w:kern w:val="0"/>
          <w:sz w:val="32"/>
          <w:szCs w:val="32"/>
          <w:highlight w:val="none"/>
          <w:lang w:val="en-US" w:eastAsia="zh-CN"/>
        </w:rPr>
        <w:t>本标准既全面又细致的解决了蚊虫防制的综合管理问题和技术规范问题，也为解决日常生活中的环境安全问题提供科学管理的依据。</w:t>
      </w:r>
    </w:p>
    <w:p w14:paraId="5AAD5673">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Times New Roman" w:hAnsi="Times New Roman" w:eastAsia="楷体" w:cs="Times New Roman"/>
          <w:b w:val="0"/>
          <w:bCs w:val="0"/>
          <w:snapToGrid/>
          <w:color w:val="000000"/>
          <w:kern w:val="0"/>
          <w:sz w:val="32"/>
          <w:szCs w:val="32"/>
          <w:highlight w:val="none"/>
          <w:lang w:val="en-US" w:eastAsia="zh-CN"/>
        </w:rPr>
      </w:pPr>
      <w:r>
        <w:rPr>
          <w:rFonts w:hint="eastAsia" w:ascii="Times New Roman" w:hAnsi="Times New Roman" w:eastAsia="楷体" w:cs="Times New Roman"/>
          <w:b w:val="0"/>
          <w:bCs w:val="0"/>
          <w:snapToGrid/>
          <w:color w:val="000000"/>
          <w:kern w:val="0"/>
          <w:sz w:val="32"/>
          <w:szCs w:val="32"/>
          <w:highlight w:val="none"/>
          <w:lang w:val="en-US" w:eastAsia="zh-CN"/>
        </w:rPr>
        <w:t>（三）起草单位</w:t>
      </w:r>
    </w:p>
    <w:p w14:paraId="5D9DF46E">
      <w:pPr>
        <w:keepNext w:val="0"/>
        <w:keepLines w:val="0"/>
        <w:pageBreakBefore w:val="0"/>
        <w:numPr>
          <w:ilvl w:val="0"/>
          <w:numId w:val="0"/>
        </w:numPr>
        <w:wordWrap/>
        <w:overflowPunct/>
        <w:topLinePunct w:val="0"/>
        <w:bidi w:val="0"/>
        <w:spacing w:line="600" w:lineRule="exact"/>
        <w:ind w:left="0" w:leftChars="0" w:firstLine="640" w:firstLineChars="200"/>
        <w:rPr>
          <w:rFonts w:hint="eastAsia" w:eastAsia="仿宋_GB2312" w:cs="仿宋_GB2312"/>
          <w:highlight w:val="none"/>
          <w:lang w:val="en-US" w:eastAsia="zh-CN"/>
        </w:rPr>
      </w:pPr>
      <w:r>
        <w:rPr>
          <w:rFonts w:hint="eastAsia" w:ascii="Times New Roman" w:hAnsi="Times New Roman" w:eastAsia="仿宋" w:cs="Times New Roman"/>
          <w:snapToGrid/>
          <w:kern w:val="0"/>
          <w:sz w:val="32"/>
          <w:szCs w:val="32"/>
          <w:highlight w:val="none"/>
          <w:lang w:val="en-US" w:eastAsia="zh-CN"/>
        </w:rPr>
        <w:t>本标准由辽宁省疾病预防控制中心</w:t>
      </w:r>
      <w:r>
        <w:rPr>
          <w:rFonts w:hint="eastAsia" w:eastAsia="仿宋" w:cs="Times New Roman"/>
          <w:snapToGrid/>
          <w:kern w:val="0"/>
          <w:sz w:val="32"/>
          <w:szCs w:val="32"/>
          <w:highlight w:val="none"/>
          <w:lang w:val="en-US" w:eastAsia="zh-CN"/>
        </w:rPr>
        <w:t>、中国疾病预防控制中心传染病预防控制所共同起草完成</w:t>
      </w:r>
      <w:r>
        <w:rPr>
          <w:rFonts w:hint="eastAsia" w:ascii="Times New Roman" w:hAnsi="Times New Roman" w:eastAsia="仿宋" w:cs="Times New Roman"/>
          <w:snapToGrid/>
          <w:kern w:val="0"/>
          <w:sz w:val="32"/>
          <w:szCs w:val="32"/>
          <w:highlight w:val="none"/>
          <w:lang w:val="en-US" w:eastAsia="zh-CN"/>
        </w:rPr>
        <w:t>。</w:t>
      </w:r>
    </w:p>
    <w:p w14:paraId="79A4D5BB">
      <w:pPr>
        <w:keepNext w:val="0"/>
        <w:keepLines w:val="0"/>
        <w:pageBreakBefore w:val="0"/>
        <w:widowControl/>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default" w:ascii="Times New Roman" w:hAnsi="Times New Roman" w:eastAsia="楷体" w:cs="Times New Roman"/>
          <w:b w:val="0"/>
          <w:bCs w:val="0"/>
          <w:snapToGrid/>
          <w:kern w:val="0"/>
          <w:sz w:val="32"/>
          <w:szCs w:val="32"/>
          <w:highlight w:val="none"/>
          <w:lang w:val="en-US" w:eastAsia="zh-CN"/>
        </w:rPr>
      </w:pPr>
      <w:bookmarkStart w:id="0" w:name="_Toc61171626"/>
      <w:r>
        <w:rPr>
          <w:rFonts w:hint="default" w:ascii="Times New Roman" w:hAnsi="Times New Roman" w:eastAsia="楷体" w:cs="Times New Roman"/>
          <w:b w:val="0"/>
          <w:bCs w:val="0"/>
          <w:snapToGrid/>
          <w:kern w:val="0"/>
          <w:sz w:val="32"/>
          <w:szCs w:val="32"/>
          <w:highlight w:val="none"/>
          <w:lang w:val="en-US" w:eastAsia="zh-CN"/>
        </w:rPr>
        <w:t>主要起草人及其所做的工作</w:t>
      </w:r>
      <w:bookmarkEnd w:id="0"/>
    </w:p>
    <w:p w14:paraId="0D03780C">
      <w:pPr>
        <w:keepNext w:val="0"/>
        <w:keepLines w:val="0"/>
        <w:pageBreakBefore w:val="0"/>
        <w:widowControl/>
        <w:kinsoku w:val="0"/>
        <w:wordWrap/>
        <w:overflowPunct/>
        <w:topLinePunct w:val="0"/>
        <w:autoSpaceDE w:val="0"/>
        <w:autoSpaceDN w:val="0"/>
        <w:bidi w:val="0"/>
        <w:adjustRightInd w:val="0"/>
        <w:snapToGrid w:val="0"/>
        <w:spacing w:line="600" w:lineRule="exact"/>
        <w:ind w:left="0"/>
        <w:jc w:val="center"/>
        <w:textAlignment w:val="baseline"/>
        <w:rPr>
          <w:rFonts w:ascii="Times New Roman" w:hAnsi="Times New Roman"/>
          <w:highlight w:val="none"/>
        </w:rPr>
      </w:pPr>
      <w:r>
        <w:rPr>
          <w:rFonts w:ascii="Times New Roman" w:hAnsi="Times New Roman" w:eastAsia="黑体" w:cs="宋体"/>
          <w:b/>
          <w:bCs/>
          <w:spacing w:val="-6"/>
          <w:sz w:val="24"/>
          <w:szCs w:val="28"/>
          <w:highlight w:val="none"/>
        </w:rPr>
        <w:t>表1</w:t>
      </w:r>
      <w:r>
        <w:rPr>
          <w:rFonts w:ascii="Times New Roman" w:hAnsi="Times New Roman" w:eastAsia="黑体" w:cs="宋体"/>
          <w:spacing w:val="-6"/>
          <w:sz w:val="24"/>
          <w:szCs w:val="28"/>
          <w:highlight w:val="none"/>
        </w:rPr>
        <w:t xml:space="preserve">  </w:t>
      </w:r>
      <w:r>
        <w:rPr>
          <w:rFonts w:ascii="Times New Roman" w:hAnsi="Times New Roman" w:eastAsia="黑体" w:cs="宋体"/>
          <w:b/>
          <w:bCs/>
          <w:spacing w:val="-6"/>
          <w:sz w:val="24"/>
          <w:szCs w:val="28"/>
          <w:highlight w:val="none"/>
        </w:rPr>
        <w:t>编写小组成员与分工表</w:t>
      </w:r>
    </w:p>
    <w:tbl>
      <w:tblPr>
        <w:tblStyle w:val="12"/>
        <w:tblW w:w="100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1"/>
        <w:gridCol w:w="830"/>
        <w:gridCol w:w="847"/>
        <w:gridCol w:w="2217"/>
        <w:gridCol w:w="2582"/>
        <w:gridCol w:w="2443"/>
      </w:tblGrid>
      <w:tr w14:paraId="6EF9A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vAlign w:val="center"/>
          </w:tcPr>
          <w:p w14:paraId="6F1299B9">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姓名</w:t>
            </w:r>
          </w:p>
        </w:tc>
        <w:tc>
          <w:tcPr>
            <w:tcW w:w="830" w:type="dxa"/>
            <w:vAlign w:val="center"/>
          </w:tcPr>
          <w:p w14:paraId="69F3A248">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性别</w:t>
            </w:r>
          </w:p>
        </w:tc>
        <w:tc>
          <w:tcPr>
            <w:tcW w:w="847" w:type="dxa"/>
            <w:vAlign w:val="center"/>
          </w:tcPr>
          <w:p w14:paraId="30FE5524">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年龄</w:t>
            </w:r>
          </w:p>
        </w:tc>
        <w:tc>
          <w:tcPr>
            <w:tcW w:w="2217" w:type="dxa"/>
            <w:vAlign w:val="center"/>
          </w:tcPr>
          <w:p w14:paraId="2AA37A10">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职务/职称</w:t>
            </w:r>
          </w:p>
        </w:tc>
        <w:tc>
          <w:tcPr>
            <w:tcW w:w="2582" w:type="dxa"/>
            <w:vAlign w:val="center"/>
          </w:tcPr>
          <w:p w14:paraId="4BBB1BC1">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工作单位</w:t>
            </w:r>
          </w:p>
        </w:tc>
        <w:tc>
          <w:tcPr>
            <w:tcW w:w="2443" w:type="dxa"/>
            <w:vAlign w:val="center"/>
          </w:tcPr>
          <w:p w14:paraId="7BB689A2">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任务分工</w:t>
            </w:r>
          </w:p>
        </w:tc>
      </w:tr>
      <w:tr w14:paraId="5446E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vAlign w:val="center"/>
          </w:tcPr>
          <w:p w14:paraId="5D271685">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王纯玉</w:t>
            </w:r>
          </w:p>
        </w:tc>
        <w:tc>
          <w:tcPr>
            <w:tcW w:w="830" w:type="dxa"/>
            <w:vAlign w:val="center"/>
          </w:tcPr>
          <w:p w14:paraId="70BD0514">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女</w:t>
            </w:r>
          </w:p>
        </w:tc>
        <w:tc>
          <w:tcPr>
            <w:tcW w:w="847" w:type="dxa"/>
            <w:vAlign w:val="center"/>
          </w:tcPr>
          <w:p w14:paraId="76B65E8B">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39</w:t>
            </w:r>
          </w:p>
        </w:tc>
        <w:tc>
          <w:tcPr>
            <w:tcW w:w="2217" w:type="dxa"/>
            <w:vAlign w:val="center"/>
          </w:tcPr>
          <w:p w14:paraId="7AAAD55B">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副所长/副主任技师</w:t>
            </w:r>
          </w:p>
        </w:tc>
        <w:tc>
          <w:tcPr>
            <w:tcW w:w="2582" w:type="dxa"/>
            <w:vAlign w:val="center"/>
          </w:tcPr>
          <w:p w14:paraId="4F92B1BB">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vAlign w:val="center"/>
          </w:tcPr>
          <w:p w14:paraId="78946CF2">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标准的总体筹划与编制、组织标准的撰写与意见征求工作</w:t>
            </w:r>
          </w:p>
        </w:tc>
      </w:tr>
      <w:tr w14:paraId="6E2FE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shd w:val="clear" w:color="auto" w:fill="auto"/>
            <w:vAlign w:val="center"/>
          </w:tcPr>
          <w:p w14:paraId="5D3B08E5">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耿英芝</w:t>
            </w:r>
          </w:p>
        </w:tc>
        <w:tc>
          <w:tcPr>
            <w:tcW w:w="830" w:type="dxa"/>
            <w:shd w:val="clear" w:color="auto" w:fill="auto"/>
            <w:vAlign w:val="center"/>
          </w:tcPr>
          <w:p w14:paraId="3233709E">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女</w:t>
            </w:r>
          </w:p>
        </w:tc>
        <w:tc>
          <w:tcPr>
            <w:tcW w:w="847" w:type="dxa"/>
            <w:shd w:val="clear" w:color="auto" w:fill="auto"/>
            <w:vAlign w:val="center"/>
          </w:tcPr>
          <w:p w14:paraId="2B3DC89F">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47</w:t>
            </w:r>
          </w:p>
        </w:tc>
        <w:tc>
          <w:tcPr>
            <w:tcW w:w="2217" w:type="dxa"/>
            <w:shd w:val="clear" w:color="auto" w:fill="auto"/>
            <w:vAlign w:val="center"/>
          </w:tcPr>
          <w:p w14:paraId="3213364A">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副主任技师</w:t>
            </w:r>
          </w:p>
        </w:tc>
        <w:tc>
          <w:tcPr>
            <w:tcW w:w="2582" w:type="dxa"/>
            <w:shd w:val="clear" w:color="auto" w:fill="auto"/>
            <w:vAlign w:val="center"/>
          </w:tcPr>
          <w:p w14:paraId="4F2B6723">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shd w:val="clear" w:color="auto" w:fill="auto"/>
            <w:vAlign w:val="center"/>
          </w:tcPr>
          <w:p w14:paraId="37D25B50">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标准的立项申请、资料收集、编制说明撰写工作</w:t>
            </w:r>
          </w:p>
        </w:tc>
      </w:tr>
      <w:tr w14:paraId="08004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shd w:val="clear" w:color="auto" w:fill="auto"/>
            <w:vAlign w:val="center"/>
          </w:tcPr>
          <w:p w14:paraId="7D82D4B7">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张宇</w:t>
            </w:r>
          </w:p>
        </w:tc>
        <w:tc>
          <w:tcPr>
            <w:tcW w:w="830" w:type="dxa"/>
            <w:shd w:val="clear" w:color="auto" w:fill="auto"/>
            <w:vAlign w:val="center"/>
          </w:tcPr>
          <w:p w14:paraId="3B8B9999">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女</w:t>
            </w:r>
          </w:p>
        </w:tc>
        <w:tc>
          <w:tcPr>
            <w:tcW w:w="847" w:type="dxa"/>
            <w:shd w:val="clear" w:color="auto" w:fill="auto"/>
            <w:vAlign w:val="center"/>
          </w:tcPr>
          <w:p w14:paraId="25654E27">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43</w:t>
            </w:r>
          </w:p>
        </w:tc>
        <w:tc>
          <w:tcPr>
            <w:tcW w:w="2217" w:type="dxa"/>
            <w:shd w:val="clear" w:color="auto" w:fill="auto"/>
            <w:vAlign w:val="center"/>
          </w:tcPr>
          <w:p w14:paraId="6643EAD7">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高级会计师</w:t>
            </w:r>
          </w:p>
        </w:tc>
        <w:tc>
          <w:tcPr>
            <w:tcW w:w="2582" w:type="dxa"/>
            <w:shd w:val="clear" w:color="auto" w:fill="auto"/>
            <w:vAlign w:val="center"/>
          </w:tcPr>
          <w:p w14:paraId="06240CB3">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shd w:val="clear" w:color="auto" w:fill="auto"/>
            <w:vAlign w:val="center"/>
          </w:tcPr>
          <w:p w14:paraId="3B0821FA">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标准的编制与撰写、意见征求工作、专家咨询</w:t>
            </w:r>
          </w:p>
        </w:tc>
      </w:tr>
      <w:tr w14:paraId="77463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shd w:val="clear" w:color="auto" w:fill="auto"/>
            <w:vAlign w:val="center"/>
          </w:tcPr>
          <w:p w14:paraId="63A33227">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刘小波</w:t>
            </w:r>
          </w:p>
        </w:tc>
        <w:tc>
          <w:tcPr>
            <w:tcW w:w="830" w:type="dxa"/>
            <w:shd w:val="clear" w:color="auto" w:fill="auto"/>
            <w:vAlign w:val="center"/>
          </w:tcPr>
          <w:p w14:paraId="26169258">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男</w:t>
            </w:r>
          </w:p>
        </w:tc>
        <w:tc>
          <w:tcPr>
            <w:tcW w:w="847" w:type="dxa"/>
            <w:shd w:val="clear" w:color="auto" w:fill="auto"/>
            <w:vAlign w:val="center"/>
          </w:tcPr>
          <w:p w14:paraId="781A3F6E">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43</w:t>
            </w:r>
          </w:p>
        </w:tc>
        <w:tc>
          <w:tcPr>
            <w:tcW w:w="2217" w:type="dxa"/>
            <w:shd w:val="clear" w:color="auto" w:fill="auto"/>
            <w:vAlign w:val="center"/>
          </w:tcPr>
          <w:p w14:paraId="77B94B0C">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研究员</w:t>
            </w:r>
          </w:p>
        </w:tc>
        <w:tc>
          <w:tcPr>
            <w:tcW w:w="2582" w:type="dxa"/>
            <w:shd w:val="clear" w:color="auto" w:fill="auto"/>
            <w:vAlign w:val="center"/>
          </w:tcPr>
          <w:p w14:paraId="0FF652A3">
            <w:pPr>
              <w:pStyle w:val="11"/>
              <w:widowControl/>
              <w:kinsoku w:val="0"/>
              <w:autoSpaceDE w:val="0"/>
              <w:autoSpaceDN w:val="0"/>
              <w:adjustRightInd w:val="0"/>
              <w:snapToGrid w:val="0"/>
              <w:spacing w:before="165" w:line="228" w:lineRule="auto"/>
              <w:jc w:val="center"/>
              <w:textAlignment w:val="baseline"/>
              <w:rPr>
                <w:rFonts w:hint="default"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中国疾病预防控制中心传染病预防控制所</w:t>
            </w:r>
          </w:p>
        </w:tc>
        <w:tc>
          <w:tcPr>
            <w:tcW w:w="2443" w:type="dxa"/>
            <w:shd w:val="clear" w:color="auto" w:fill="auto"/>
            <w:vAlign w:val="center"/>
          </w:tcPr>
          <w:p w14:paraId="72878870">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标准的编制与撰写、意见征求工作、专家咨询</w:t>
            </w:r>
          </w:p>
        </w:tc>
      </w:tr>
      <w:tr w14:paraId="30E06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shd w:val="clear" w:color="auto" w:fill="auto"/>
            <w:vAlign w:val="center"/>
          </w:tcPr>
          <w:p w14:paraId="5EE72959">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张倩</w:t>
            </w:r>
          </w:p>
        </w:tc>
        <w:tc>
          <w:tcPr>
            <w:tcW w:w="830" w:type="dxa"/>
            <w:shd w:val="clear" w:color="auto" w:fill="auto"/>
            <w:vAlign w:val="center"/>
          </w:tcPr>
          <w:p w14:paraId="7181B641">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女</w:t>
            </w:r>
          </w:p>
        </w:tc>
        <w:tc>
          <w:tcPr>
            <w:tcW w:w="847" w:type="dxa"/>
            <w:shd w:val="clear" w:color="auto" w:fill="auto"/>
            <w:vAlign w:val="center"/>
          </w:tcPr>
          <w:p w14:paraId="5D449501">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38</w:t>
            </w:r>
          </w:p>
        </w:tc>
        <w:tc>
          <w:tcPr>
            <w:tcW w:w="2217" w:type="dxa"/>
            <w:shd w:val="clear" w:color="auto" w:fill="auto"/>
            <w:vAlign w:val="center"/>
          </w:tcPr>
          <w:p w14:paraId="7C8DFEB6">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副主任技师</w:t>
            </w:r>
          </w:p>
        </w:tc>
        <w:tc>
          <w:tcPr>
            <w:tcW w:w="2582" w:type="dxa"/>
            <w:shd w:val="clear" w:color="auto" w:fill="auto"/>
            <w:vAlign w:val="center"/>
          </w:tcPr>
          <w:p w14:paraId="29DA8AFA">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shd w:val="clear" w:color="auto" w:fill="auto"/>
            <w:vAlign w:val="center"/>
          </w:tcPr>
          <w:p w14:paraId="19F25EF7">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sz w:val="20"/>
                <w:szCs w:val="20"/>
                <w:highlight w:val="none"/>
                <w:lang w:val="en-US" w:eastAsia="zh-CN" w:bidi="ar-SA"/>
              </w:rPr>
            </w:pPr>
            <w:r>
              <w:rPr>
                <w:rFonts w:hint="eastAsia" w:ascii="Times New Roman" w:hAnsi="Times New Roman" w:eastAsia="仿宋" w:cs="宋体"/>
                <w:b/>
                <w:bCs/>
                <w:snapToGrid w:val="0"/>
                <w:color w:val="000000"/>
                <w:spacing w:val="5"/>
                <w:kern w:val="0"/>
                <w:highlight w:val="none"/>
                <w:lang w:val="en-US" w:eastAsia="zh-CN"/>
              </w:rPr>
              <w:t>标准的编制与撰写、意见征求工作、专家咨询</w:t>
            </w:r>
          </w:p>
        </w:tc>
      </w:tr>
      <w:tr w14:paraId="22731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vAlign w:val="center"/>
          </w:tcPr>
          <w:p w14:paraId="217CD1EF">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王禹霏</w:t>
            </w:r>
          </w:p>
        </w:tc>
        <w:tc>
          <w:tcPr>
            <w:tcW w:w="830" w:type="dxa"/>
            <w:vAlign w:val="center"/>
          </w:tcPr>
          <w:p w14:paraId="068819FE">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女</w:t>
            </w:r>
          </w:p>
        </w:tc>
        <w:tc>
          <w:tcPr>
            <w:tcW w:w="847" w:type="dxa"/>
            <w:vAlign w:val="center"/>
          </w:tcPr>
          <w:p w14:paraId="2EA0623A">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27</w:t>
            </w:r>
          </w:p>
        </w:tc>
        <w:tc>
          <w:tcPr>
            <w:tcW w:w="2217" w:type="dxa"/>
            <w:vAlign w:val="center"/>
          </w:tcPr>
          <w:p w14:paraId="40E95DAB">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科员</w:t>
            </w:r>
          </w:p>
        </w:tc>
        <w:tc>
          <w:tcPr>
            <w:tcW w:w="2582" w:type="dxa"/>
            <w:vAlign w:val="center"/>
          </w:tcPr>
          <w:p w14:paraId="3C56D156">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vAlign w:val="center"/>
          </w:tcPr>
          <w:p w14:paraId="220E5C67">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标准的编制与撰写、意见征求工作、专家咨询</w:t>
            </w:r>
          </w:p>
        </w:tc>
      </w:tr>
      <w:tr w14:paraId="48CE6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151" w:type="dxa"/>
            <w:vAlign w:val="center"/>
          </w:tcPr>
          <w:p w14:paraId="2CF02583">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丁俊</w:t>
            </w:r>
          </w:p>
        </w:tc>
        <w:tc>
          <w:tcPr>
            <w:tcW w:w="830" w:type="dxa"/>
            <w:vAlign w:val="center"/>
          </w:tcPr>
          <w:p w14:paraId="461553E4">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男</w:t>
            </w:r>
          </w:p>
        </w:tc>
        <w:tc>
          <w:tcPr>
            <w:tcW w:w="847" w:type="dxa"/>
            <w:vAlign w:val="center"/>
          </w:tcPr>
          <w:p w14:paraId="00B89FD9">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45</w:t>
            </w:r>
          </w:p>
        </w:tc>
        <w:tc>
          <w:tcPr>
            <w:tcW w:w="2217" w:type="dxa"/>
            <w:vAlign w:val="center"/>
          </w:tcPr>
          <w:p w14:paraId="13DD6846">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所长/主任技师</w:t>
            </w:r>
          </w:p>
        </w:tc>
        <w:tc>
          <w:tcPr>
            <w:tcW w:w="2582" w:type="dxa"/>
            <w:vAlign w:val="center"/>
          </w:tcPr>
          <w:p w14:paraId="2210ADE8">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辽宁省疾病预防控制中心</w:t>
            </w:r>
          </w:p>
        </w:tc>
        <w:tc>
          <w:tcPr>
            <w:tcW w:w="2443" w:type="dxa"/>
            <w:vAlign w:val="center"/>
          </w:tcPr>
          <w:p w14:paraId="3E057780">
            <w:pPr>
              <w:pStyle w:val="11"/>
              <w:widowControl/>
              <w:kinsoku w:val="0"/>
              <w:autoSpaceDE w:val="0"/>
              <w:autoSpaceDN w:val="0"/>
              <w:adjustRightInd w:val="0"/>
              <w:snapToGrid w:val="0"/>
              <w:spacing w:before="165" w:line="228" w:lineRule="auto"/>
              <w:jc w:val="center"/>
              <w:textAlignment w:val="baseline"/>
              <w:rPr>
                <w:rFonts w:hint="eastAsia" w:ascii="Times New Roman" w:hAnsi="Times New Roman" w:eastAsia="仿宋" w:cs="宋体"/>
                <w:b/>
                <w:bCs/>
                <w:snapToGrid w:val="0"/>
                <w:color w:val="000000"/>
                <w:spacing w:val="5"/>
                <w:kern w:val="0"/>
                <w:highlight w:val="none"/>
                <w:lang w:val="en-US" w:eastAsia="zh-CN"/>
              </w:rPr>
            </w:pPr>
            <w:r>
              <w:rPr>
                <w:rFonts w:hint="eastAsia" w:ascii="Times New Roman" w:hAnsi="Times New Roman" w:eastAsia="仿宋" w:cs="宋体"/>
                <w:b/>
                <w:bCs/>
                <w:snapToGrid w:val="0"/>
                <w:color w:val="000000"/>
                <w:spacing w:val="5"/>
                <w:kern w:val="0"/>
                <w:highlight w:val="none"/>
                <w:lang w:val="en-US" w:eastAsia="zh-CN"/>
              </w:rPr>
              <w:t>标准的撰写、专家咨询</w:t>
            </w:r>
          </w:p>
        </w:tc>
      </w:tr>
    </w:tbl>
    <w:p w14:paraId="71D378D1">
      <w:pPr>
        <w:numPr>
          <w:ilvl w:val="0"/>
          <w:numId w:val="0"/>
        </w:numPr>
        <w:spacing w:line="560" w:lineRule="exact"/>
        <w:ind w:firstLine="640" w:firstLineChars="200"/>
        <w:rPr>
          <w:rFonts w:hint="eastAsia" w:cs="仿宋_GB2312"/>
          <w:highlight w:val="none"/>
        </w:rPr>
      </w:pPr>
      <w:r>
        <w:rPr>
          <w:rFonts w:hint="eastAsia" w:ascii="黑体" w:hAnsi="黑体" w:eastAsia="黑体" w:cs="黑体"/>
          <w:kern w:val="2"/>
          <w:sz w:val="32"/>
          <w:szCs w:val="32"/>
          <w:highlight w:val="none"/>
          <w:lang w:val="en-US" w:eastAsia="zh-CN" w:bidi="ar-SA"/>
        </w:rPr>
        <w:t>二、</w:t>
      </w:r>
      <w:r>
        <w:rPr>
          <w:rFonts w:hint="eastAsia" w:ascii="黑体" w:hAnsi="黑体" w:eastAsia="黑体" w:cs="黑体"/>
          <w:highlight w:val="none"/>
        </w:rPr>
        <w:t>标准编制原则和确定地方标准主要内容的论据</w:t>
      </w:r>
    </w:p>
    <w:p w14:paraId="773CAC1E">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588" w:firstLineChars="200"/>
        <w:jc w:val="both"/>
        <w:textAlignment w:val="baseline"/>
        <w:outlineLvl w:val="1"/>
        <w:rPr>
          <w:sz w:val="32"/>
          <w:szCs w:val="32"/>
          <w:highlight w:val="none"/>
        </w:rPr>
      </w:pPr>
      <w:bookmarkStart w:id="1" w:name="_Toc1189422616"/>
      <w:r>
        <w:rPr>
          <w:rFonts w:hint="eastAsia" w:ascii="楷体" w:hAnsi="楷体" w:eastAsia="楷体" w:cs="楷体"/>
          <w:b w:val="0"/>
          <w:bCs w:val="0"/>
          <w:spacing w:val="-13"/>
          <w:sz w:val="32"/>
          <w:szCs w:val="32"/>
          <w:highlight w:val="none"/>
        </w:rPr>
        <w:t>（一）编制原则</w:t>
      </w:r>
      <w:bookmarkEnd w:id="1"/>
    </w:p>
    <w:p w14:paraId="3525AD05">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2"/>
        <w:rPr>
          <w:rFonts w:hint="eastAsia" w:ascii="Times New Roman" w:hAnsi="Times New Roman" w:eastAsia="仿宋" w:cs="仿宋"/>
          <w:b w:val="0"/>
          <w:bCs w:val="0"/>
          <w:spacing w:val="-2"/>
          <w:sz w:val="32"/>
          <w:szCs w:val="32"/>
          <w:highlight w:val="none"/>
        </w:rPr>
      </w:pPr>
      <w:bookmarkStart w:id="2" w:name="_Toc1945824177"/>
      <w:r>
        <w:rPr>
          <w:rFonts w:hint="eastAsia" w:ascii="Times New Roman" w:hAnsi="Times New Roman" w:eastAsia="仿宋" w:cs="仿宋"/>
          <w:b w:val="0"/>
          <w:bCs w:val="0"/>
          <w:spacing w:val="-2"/>
          <w:sz w:val="32"/>
          <w:szCs w:val="32"/>
          <w:highlight w:val="none"/>
        </w:rPr>
        <w:t>1.</w:t>
      </w:r>
      <w:r>
        <w:rPr>
          <w:rFonts w:hint="eastAsia" w:ascii="Times New Roman" w:hAnsi="Times New Roman" w:eastAsia="仿宋" w:cs="仿宋"/>
          <w:b w:val="0"/>
          <w:bCs w:val="0"/>
          <w:snapToGrid w:val="0"/>
          <w:color w:val="000000"/>
          <w:spacing w:val="-2"/>
          <w:kern w:val="0"/>
          <w:sz w:val="32"/>
          <w:szCs w:val="32"/>
          <w:highlight w:val="none"/>
          <w:lang w:eastAsia="en-US"/>
        </w:rPr>
        <w:t>科学性原则</w:t>
      </w:r>
      <w:bookmarkEnd w:id="2"/>
    </w:p>
    <w:p w14:paraId="09AFE4C5">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32" w:firstLineChars="200"/>
        <w:jc w:val="both"/>
        <w:textAlignment w:val="baseline"/>
        <w:rPr>
          <w:rFonts w:hint="eastAsia" w:ascii="Times New Roman" w:hAnsi="Times New Roman" w:eastAsia="仿宋" w:cs="仿宋"/>
          <w:b w:val="0"/>
          <w:bCs w:val="0"/>
          <w:sz w:val="32"/>
          <w:szCs w:val="32"/>
          <w:highlight w:val="none"/>
        </w:rPr>
      </w:pPr>
      <w:r>
        <w:rPr>
          <w:rFonts w:hint="eastAsia" w:ascii="Times New Roman" w:hAnsi="Times New Roman" w:eastAsia="仿宋" w:cs="仿宋"/>
          <w:b w:val="0"/>
          <w:bCs w:val="0"/>
          <w:spacing w:val="-2"/>
          <w:sz w:val="32"/>
          <w:szCs w:val="32"/>
          <w:highlight w:val="none"/>
        </w:rPr>
        <w:t>本标准严格按照GB/T 1.1</w:t>
      </w:r>
      <w:r>
        <w:rPr>
          <w:rFonts w:hint="eastAsia" w:ascii="Times New Roman" w:hAnsi="Times New Roman" w:eastAsia="仿宋" w:cs="仿宋"/>
          <w:b w:val="0"/>
          <w:bCs w:val="0"/>
          <w:snapToGrid w:val="0"/>
          <w:color w:val="000000"/>
          <w:spacing w:val="-4"/>
          <w:kern w:val="0"/>
          <w:sz w:val="32"/>
          <w:szCs w:val="32"/>
          <w:highlight w:val="none"/>
          <w:lang w:val="en-US" w:eastAsia="en-US" w:bidi="ar-SA"/>
        </w:rPr>
        <w:t>—</w:t>
      </w:r>
      <w:r>
        <w:rPr>
          <w:rFonts w:hint="eastAsia" w:ascii="Times New Roman" w:hAnsi="Times New Roman" w:eastAsia="仿宋" w:cs="仿宋"/>
          <w:b w:val="0"/>
          <w:bCs w:val="0"/>
          <w:spacing w:val="-2"/>
          <w:sz w:val="32"/>
          <w:szCs w:val="32"/>
          <w:highlight w:val="none"/>
        </w:rPr>
        <w:t>2020《标准化工作导则第1部分：标准化文件的结构和起草规则》的要求和规定，确定结构、编写规则和技术内容要素并完成编制，其中各项技术严格遵循国家标准、行业和相关规范，遵循国家相关法律法规、政策性文件，</w:t>
      </w:r>
      <w:r>
        <w:rPr>
          <w:rFonts w:hint="eastAsia" w:ascii="Times New Roman" w:hAnsi="Times New Roman" w:eastAsia="仿宋" w:cs="仿宋"/>
          <w:b w:val="0"/>
          <w:bCs w:val="0"/>
          <w:spacing w:val="-2"/>
          <w:sz w:val="32"/>
          <w:szCs w:val="32"/>
          <w:highlight w:val="none"/>
          <w:lang w:eastAsia="zh-CN"/>
        </w:rPr>
        <w:t>充分依据蚊虫的生态习性、繁殖规律、吸血偏好等生物学特征制定防制策略，采用经科学验证有效的监测与防制技术，为蚊虫防制相关人员提供一套系统的方法和指导。</w:t>
      </w:r>
      <w:r>
        <w:rPr>
          <w:rFonts w:hint="eastAsia" w:ascii="Times New Roman" w:hAnsi="Times New Roman" w:eastAsia="仿宋" w:cs="仿宋"/>
          <w:b w:val="0"/>
          <w:bCs w:val="0"/>
          <w:spacing w:val="-2"/>
          <w:sz w:val="32"/>
          <w:szCs w:val="32"/>
          <w:highlight w:val="none"/>
        </w:rPr>
        <w:t>本标准</w:t>
      </w:r>
      <w:r>
        <w:rPr>
          <w:rFonts w:hint="eastAsia" w:ascii="Times New Roman" w:eastAsia="仿宋"/>
          <w:b w:val="0"/>
          <w:bCs w:val="0"/>
          <w:kern w:val="2"/>
          <w:sz w:val="32"/>
          <w:szCs w:val="32"/>
          <w:highlight w:val="none"/>
        </w:rPr>
        <w:t>与现有的GB/T 27771</w:t>
      </w:r>
      <w:r>
        <w:rPr>
          <w:rFonts w:hint="eastAsia" w:ascii="Times New Roman" w:eastAsia="仿宋"/>
          <w:b w:val="0"/>
          <w:bCs w:val="0"/>
          <w:kern w:val="2"/>
          <w:sz w:val="32"/>
          <w:szCs w:val="32"/>
          <w:highlight w:val="none"/>
          <w:lang w:eastAsia="zh-CN"/>
        </w:rPr>
        <w:t>《</w:t>
      </w:r>
      <w:r>
        <w:rPr>
          <w:rFonts w:hint="eastAsia" w:ascii="Times New Roman" w:eastAsia="仿宋"/>
          <w:b w:val="0"/>
          <w:bCs w:val="0"/>
          <w:kern w:val="2"/>
          <w:sz w:val="32"/>
          <w:szCs w:val="32"/>
          <w:highlight w:val="none"/>
        </w:rPr>
        <w:t>病媒生物密度控制水平 蚊虫</w:t>
      </w:r>
      <w:r>
        <w:rPr>
          <w:rFonts w:hint="eastAsia" w:ascii="Times New Roman" w:eastAsia="仿宋"/>
          <w:b w:val="0"/>
          <w:bCs w:val="0"/>
          <w:kern w:val="2"/>
          <w:sz w:val="32"/>
          <w:szCs w:val="32"/>
          <w:highlight w:val="none"/>
          <w:lang w:eastAsia="zh-CN"/>
        </w:rPr>
        <w:t>》、GB/T 23797《病媒生物密度监测方法 蚊虫》、GB/T 31717《病媒生物综合管理技术规范 环境治理 蚊虫》</w:t>
      </w:r>
      <w:r>
        <w:rPr>
          <w:rFonts w:hint="eastAsia" w:ascii="Times New Roman" w:eastAsia="仿宋"/>
          <w:b w:val="0"/>
          <w:bCs w:val="0"/>
          <w:kern w:val="2"/>
          <w:sz w:val="32"/>
          <w:szCs w:val="32"/>
          <w:highlight w:val="none"/>
        </w:rPr>
        <w:t>相协调一致。</w:t>
      </w:r>
    </w:p>
    <w:p w14:paraId="1FEF3D37">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2"/>
        <w:rPr>
          <w:rFonts w:hint="eastAsia" w:ascii="Times New Roman" w:hAnsi="Times New Roman" w:eastAsia="仿宋" w:cs="仿宋"/>
          <w:b w:val="0"/>
          <w:bCs w:val="0"/>
          <w:spacing w:val="-2"/>
          <w:sz w:val="32"/>
          <w:szCs w:val="32"/>
          <w:highlight w:val="none"/>
        </w:rPr>
      </w:pPr>
      <w:bookmarkStart w:id="3" w:name="_Toc372027449"/>
      <w:r>
        <w:rPr>
          <w:rFonts w:hint="eastAsia" w:ascii="Times New Roman" w:hAnsi="Times New Roman" w:eastAsia="仿宋" w:cs="仿宋"/>
          <w:b w:val="0"/>
          <w:bCs w:val="0"/>
          <w:spacing w:val="-2"/>
          <w:sz w:val="32"/>
          <w:szCs w:val="32"/>
          <w:highlight w:val="none"/>
        </w:rPr>
        <w:t>2.实用性原则</w:t>
      </w:r>
      <w:bookmarkEnd w:id="3"/>
    </w:p>
    <w:p w14:paraId="29C279AE">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32" w:firstLineChars="200"/>
        <w:jc w:val="both"/>
        <w:textAlignment w:val="baseline"/>
        <w:rPr>
          <w:rFonts w:hint="eastAsia" w:ascii="Times New Roman" w:hAnsi="Times New Roman" w:eastAsia="仿宋" w:cs="仿宋"/>
          <w:b w:val="0"/>
          <w:bCs w:val="0"/>
          <w:spacing w:val="-2"/>
          <w:sz w:val="32"/>
          <w:szCs w:val="32"/>
          <w:highlight w:val="none"/>
          <w:lang w:eastAsia="zh-CN"/>
        </w:rPr>
      </w:pPr>
      <w:r>
        <w:rPr>
          <w:rFonts w:hint="eastAsia" w:ascii="Times New Roman" w:hAnsi="Times New Roman" w:eastAsia="仿宋" w:cs="仿宋"/>
          <w:b w:val="0"/>
          <w:bCs w:val="0"/>
          <w:spacing w:val="-2"/>
          <w:sz w:val="32"/>
          <w:szCs w:val="32"/>
          <w:highlight w:val="none"/>
          <w:lang w:eastAsia="zh-CN"/>
        </w:rPr>
        <w:t>本规范</w:t>
      </w:r>
      <w:r>
        <w:rPr>
          <w:rFonts w:hint="eastAsia" w:ascii="Times New Roman" w:hAnsi="Times New Roman" w:eastAsia="仿宋" w:cs="仿宋"/>
          <w:spacing w:val="-2"/>
          <w:sz w:val="32"/>
          <w:szCs w:val="32"/>
          <w:highlight w:val="none"/>
          <w:lang w:eastAsia="zh-CN"/>
        </w:rPr>
        <w:t>充分考虑我省实际情况，</w:t>
      </w:r>
      <w:r>
        <w:rPr>
          <w:rFonts w:hint="eastAsia" w:ascii="Times New Roman" w:hAnsi="Times New Roman" w:eastAsia="仿宋" w:cs="仿宋"/>
          <w:b w:val="0"/>
          <w:bCs w:val="0"/>
          <w:spacing w:val="-2"/>
          <w:sz w:val="32"/>
          <w:szCs w:val="32"/>
          <w:highlight w:val="none"/>
          <w:lang w:eastAsia="zh-CN"/>
        </w:rPr>
        <w:t>能够确保防制标准中的措施简便易行，使参与蚊虫防制的工作人员都能理解并执行；</w:t>
      </w:r>
      <w:r>
        <w:rPr>
          <w:rFonts w:hint="eastAsia" w:eastAsia="仿宋" w:cs="仿宋"/>
          <w:b w:val="0"/>
          <w:bCs w:val="0"/>
          <w:spacing w:val="-2"/>
          <w:sz w:val="32"/>
          <w:szCs w:val="32"/>
          <w:highlight w:val="none"/>
          <w:lang w:eastAsia="zh-CN"/>
        </w:rPr>
        <w:t>充分</w:t>
      </w:r>
      <w:r>
        <w:rPr>
          <w:rFonts w:hint="eastAsia" w:ascii="Times New Roman" w:hAnsi="Times New Roman" w:eastAsia="仿宋" w:cs="仿宋"/>
          <w:b w:val="0"/>
          <w:bCs w:val="0"/>
          <w:spacing w:val="-2"/>
          <w:sz w:val="32"/>
          <w:szCs w:val="32"/>
          <w:highlight w:val="none"/>
          <w:lang w:eastAsia="zh-CN"/>
        </w:rPr>
        <w:t>考虑到蚊虫</w:t>
      </w:r>
      <w:r>
        <w:rPr>
          <w:rFonts w:hint="eastAsia" w:eastAsia="仿宋" w:cs="仿宋"/>
          <w:b w:val="0"/>
          <w:bCs w:val="0"/>
          <w:spacing w:val="-2"/>
          <w:sz w:val="32"/>
          <w:szCs w:val="32"/>
          <w:highlight w:val="none"/>
          <w:lang w:eastAsia="zh-CN"/>
        </w:rPr>
        <w:t>生态习性</w:t>
      </w:r>
      <w:r>
        <w:rPr>
          <w:rFonts w:hint="eastAsia" w:ascii="Times New Roman" w:hAnsi="Times New Roman" w:eastAsia="仿宋" w:cs="仿宋"/>
          <w:b w:val="0"/>
          <w:bCs w:val="0"/>
          <w:spacing w:val="-2"/>
          <w:sz w:val="32"/>
          <w:szCs w:val="32"/>
          <w:highlight w:val="none"/>
          <w:lang w:eastAsia="zh-CN"/>
        </w:rPr>
        <w:t>，制定具有普适性的防制标准，满足不同环境的实际需求。</w:t>
      </w:r>
    </w:p>
    <w:p w14:paraId="384143E7">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2"/>
        <w:rPr>
          <w:rFonts w:hint="eastAsia" w:ascii="Times New Roman" w:hAnsi="Times New Roman" w:eastAsia="仿宋" w:cs="仿宋"/>
          <w:b w:val="0"/>
          <w:bCs w:val="0"/>
          <w:spacing w:val="-2"/>
          <w:sz w:val="32"/>
          <w:szCs w:val="32"/>
          <w:highlight w:val="none"/>
        </w:rPr>
      </w:pPr>
      <w:bookmarkStart w:id="4" w:name="_Toc1780777415"/>
      <w:r>
        <w:rPr>
          <w:rFonts w:hint="eastAsia" w:ascii="Times New Roman" w:hAnsi="Times New Roman" w:eastAsia="仿宋" w:cs="仿宋"/>
          <w:b w:val="0"/>
          <w:bCs w:val="0"/>
          <w:spacing w:val="-2"/>
          <w:sz w:val="32"/>
          <w:szCs w:val="32"/>
          <w:highlight w:val="none"/>
        </w:rPr>
        <w:t>3.</w:t>
      </w:r>
      <w:r>
        <w:rPr>
          <w:rFonts w:hint="eastAsia" w:ascii="Times New Roman" w:hAnsi="Times New Roman" w:eastAsia="仿宋" w:cs="仿宋"/>
          <w:b w:val="0"/>
          <w:bCs w:val="0"/>
          <w:spacing w:val="-2"/>
          <w:sz w:val="32"/>
          <w:szCs w:val="32"/>
          <w:highlight w:val="none"/>
          <w:lang w:eastAsia="zh-CN"/>
        </w:rPr>
        <w:t>安全</w:t>
      </w:r>
      <w:r>
        <w:rPr>
          <w:rFonts w:hint="eastAsia" w:ascii="Times New Roman" w:hAnsi="Times New Roman" w:eastAsia="仿宋" w:cs="仿宋"/>
          <w:b w:val="0"/>
          <w:bCs w:val="0"/>
          <w:spacing w:val="-2"/>
          <w:sz w:val="32"/>
          <w:szCs w:val="32"/>
          <w:highlight w:val="none"/>
        </w:rPr>
        <w:t>性原则</w:t>
      </w:r>
      <w:bookmarkEnd w:id="4"/>
    </w:p>
    <w:p w14:paraId="4E23E88F">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32" w:firstLineChars="200"/>
        <w:jc w:val="both"/>
        <w:textAlignment w:val="baseline"/>
        <w:rPr>
          <w:rFonts w:hint="eastAsia" w:ascii="Times New Roman" w:hAnsi="Times New Roman" w:eastAsia="仿宋" w:cs="仿宋"/>
          <w:b w:val="0"/>
          <w:bCs w:val="0"/>
          <w:spacing w:val="-2"/>
          <w:sz w:val="32"/>
          <w:szCs w:val="32"/>
          <w:highlight w:val="none"/>
          <w:lang w:eastAsia="zh-CN"/>
        </w:rPr>
      </w:pPr>
      <w:r>
        <w:rPr>
          <w:rFonts w:hint="eastAsia" w:ascii="Times New Roman" w:hAnsi="Times New Roman" w:eastAsia="仿宋" w:cs="仿宋"/>
          <w:b w:val="0"/>
          <w:bCs w:val="0"/>
          <w:spacing w:val="-2"/>
          <w:sz w:val="32"/>
          <w:szCs w:val="32"/>
          <w:highlight w:val="none"/>
          <w:lang w:eastAsia="zh-CN"/>
        </w:rPr>
        <w:t>本规范</w:t>
      </w:r>
      <w:r>
        <w:rPr>
          <w:rFonts w:hint="eastAsia" w:eastAsia="仿宋" w:cs="仿宋"/>
          <w:b w:val="0"/>
          <w:bCs w:val="0"/>
          <w:spacing w:val="-2"/>
          <w:sz w:val="32"/>
          <w:szCs w:val="32"/>
          <w:highlight w:val="none"/>
          <w:lang w:val="en-US" w:eastAsia="zh-CN"/>
        </w:rPr>
        <w:t>编制</w:t>
      </w:r>
      <w:r>
        <w:rPr>
          <w:rFonts w:hint="eastAsia" w:ascii="Times New Roman" w:hAnsi="Times New Roman" w:eastAsia="仿宋" w:cs="仿宋"/>
          <w:b w:val="0"/>
          <w:bCs w:val="0"/>
          <w:spacing w:val="-2"/>
          <w:sz w:val="32"/>
          <w:szCs w:val="32"/>
          <w:highlight w:val="none"/>
          <w:lang w:eastAsia="zh-CN"/>
        </w:rPr>
        <w:t>充分兼顾安全防控要求。开展化学防制时，严格选用合规合格</w:t>
      </w:r>
      <w:r>
        <w:rPr>
          <w:rFonts w:hint="eastAsia" w:ascii="Times New Roman" w:hAnsi="Times New Roman" w:eastAsia="仿宋" w:cs="仿宋"/>
          <w:b w:val="0"/>
          <w:bCs w:val="0"/>
          <w:spacing w:val="-2"/>
          <w:sz w:val="32"/>
          <w:szCs w:val="32"/>
          <w:highlight w:val="none"/>
          <w:lang w:val="en-US" w:eastAsia="zh-CN"/>
        </w:rPr>
        <w:t>且</w:t>
      </w:r>
      <w:r>
        <w:rPr>
          <w:rFonts w:hint="eastAsia" w:ascii="Times New Roman" w:hAnsi="Times New Roman" w:eastAsia="仿宋" w:cs="仿宋"/>
          <w:b w:val="0"/>
          <w:bCs w:val="0"/>
          <w:spacing w:val="-2"/>
          <w:sz w:val="32"/>
          <w:szCs w:val="32"/>
          <w:highlight w:val="none"/>
          <w:lang w:eastAsia="zh-CN"/>
        </w:rPr>
        <w:t>对人体毒性低、残留少的卫生杀虫剂，并严格遵循产品说明书中的使用方法与剂量，防止对施药人员及群众造成健康危害。</w:t>
      </w:r>
    </w:p>
    <w:p w14:paraId="3FBF611A">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2"/>
        <w:rPr>
          <w:rFonts w:hint="eastAsia" w:ascii="Times New Roman" w:hAnsi="Times New Roman" w:eastAsia="仿宋" w:cs="仿宋"/>
          <w:b w:val="0"/>
          <w:bCs w:val="0"/>
          <w:spacing w:val="-2"/>
          <w:sz w:val="32"/>
          <w:szCs w:val="32"/>
          <w:highlight w:val="none"/>
        </w:rPr>
      </w:pPr>
      <w:bookmarkStart w:id="5" w:name="_Toc2013446664"/>
      <w:r>
        <w:rPr>
          <w:rFonts w:hint="eastAsia" w:ascii="Times New Roman" w:hAnsi="Times New Roman" w:eastAsia="仿宋" w:cs="仿宋"/>
          <w:b w:val="0"/>
          <w:bCs w:val="0"/>
          <w:spacing w:val="-2"/>
          <w:sz w:val="32"/>
          <w:szCs w:val="32"/>
          <w:highlight w:val="none"/>
        </w:rPr>
        <w:t>4.</w:t>
      </w:r>
      <w:r>
        <w:rPr>
          <w:rFonts w:hint="eastAsia" w:ascii="Times New Roman" w:hAnsi="Times New Roman" w:eastAsia="仿宋" w:cs="仿宋"/>
          <w:b w:val="0"/>
          <w:bCs w:val="0"/>
          <w:spacing w:val="-2"/>
          <w:sz w:val="32"/>
          <w:szCs w:val="32"/>
          <w:highlight w:val="none"/>
          <w:lang w:eastAsia="zh-CN"/>
        </w:rPr>
        <w:t>综合</w:t>
      </w:r>
      <w:r>
        <w:rPr>
          <w:rFonts w:hint="eastAsia" w:ascii="Times New Roman" w:hAnsi="Times New Roman" w:eastAsia="仿宋" w:cs="仿宋"/>
          <w:b w:val="0"/>
          <w:bCs w:val="0"/>
          <w:spacing w:val="-2"/>
          <w:sz w:val="32"/>
          <w:szCs w:val="32"/>
          <w:highlight w:val="none"/>
        </w:rPr>
        <w:t>性原则</w:t>
      </w:r>
      <w:bookmarkEnd w:id="5"/>
    </w:p>
    <w:p w14:paraId="0C7A1E50">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32" w:firstLineChars="200"/>
        <w:jc w:val="both"/>
        <w:textAlignment w:val="baseline"/>
        <w:rPr>
          <w:rFonts w:hint="eastAsia" w:ascii="Times New Roman" w:hAnsi="Times New Roman" w:eastAsia="仿宋" w:cs="仿宋"/>
          <w:b w:val="0"/>
          <w:bCs w:val="0"/>
          <w:spacing w:val="-2"/>
          <w:sz w:val="32"/>
          <w:szCs w:val="32"/>
          <w:highlight w:val="none"/>
          <w:lang w:eastAsia="zh-CN"/>
        </w:rPr>
      </w:pPr>
      <w:r>
        <w:rPr>
          <w:rFonts w:hint="eastAsia" w:ascii="Times New Roman" w:hAnsi="Times New Roman" w:eastAsia="仿宋" w:cs="仿宋"/>
          <w:b w:val="0"/>
          <w:bCs w:val="0"/>
          <w:spacing w:val="-2"/>
          <w:sz w:val="32"/>
          <w:szCs w:val="32"/>
          <w:highlight w:val="none"/>
          <w:lang w:eastAsia="zh-CN"/>
        </w:rPr>
        <w:t>综合运用物理、化学、环境治理等多种防制手段，发挥各自优势，形成协同效应，提高防制效果。在使用防制方法后，通过</w:t>
      </w:r>
      <w:r>
        <w:rPr>
          <w:rFonts w:hint="eastAsia" w:eastAsia="仿宋" w:cs="仿宋"/>
          <w:b w:val="0"/>
          <w:bCs w:val="0"/>
          <w:spacing w:val="-2"/>
          <w:sz w:val="32"/>
          <w:szCs w:val="32"/>
          <w:highlight w:val="none"/>
          <w:lang w:eastAsia="zh-CN"/>
        </w:rPr>
        <w:t>调查蚊虫密度</w:t>
      </w:r>
      <w:r>
        <w:rPr>
          <w:rFonts w:hint="eastAsia" w:ascii="Times New Roman" w:hAnsi="Times New Roman" w:eastAsia="仿宋" w:cs="仿宋"/>
          <w:b w:val="0"/>
          <w:bCs w:val="0"/>
          <w:spacing w:val="-2"/>
          <w:sz w:val="32"/>
          <w:szCs w:val="32"/>
          <w:highlight w:val="none"/>
          <w:lang w:eastAsia="zh-CN"/>
        </w:rPr>
        <w:t>进行防制效果评价，以便及时调整防制策略。</w:t>
      </w:r>
    </w:p>
    <w:p w14:paraId="70ACFB85">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2"/>
        <w:rPr>
          <w:rFonts w:hint="eastAsia" w:ascii="Times New Roman" w:hAnsi="Times New Roman" w:eastAsia="仿宋" w:cs="仿宋"/>
          <w:b w:val="0"/>
          <w:bCs w:val="0"/>
          <w:spacing w:val="-2"/>
          <w:sz w:val="32"/>
          <w:szCs w:val="32"/>
          <w:highlight w:val="none"/>
        </w:rPr>
      </w:pPr>
      <w:bookmarkStart w:id="6" w:name="_Toc1049462584"/>
      <w:r>
        <w:rPr>
          <w:rFonts w:hint="eastAsia" w:ascii="Times New Roman" w:hAnsi="Times New Roman" w:eastAsia="仿宋" w:cs="仿宋"/>
          <w:b w:val="0"/>
          <w:bCs w:val="0"/>
          <w:spacing w:val="-2"/>
          <w:sz w:val="32"/>
          <w:szCs w:val="32"/>
          <w:highlight w:val="none"/>
        </w:rPr>
        <w:t>5.经济性原则</w:t>
      </w:r>
      <w:bookmarkEnd w:id="6"/>
    </w:p>
    <w:p w14:paraId="1BF91295">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32" w:firstLineChars="200"/>
        <w:jc w:val="both"/>
        <w:textAlignment w:val="baseline"/>
        <w:outlineLvl w:val="1"/>
        <w:rPr>
          <w:rFonts w:hint="eastAsia" w:ascii="Times New Roman" w:hAnsi="Times New Roman" w:eastAsia="仿宋" w:cs="仿宋"/>
          <w:b w:val="0"/>
          <w:bCs w:val="0"/>
          <w:spacing w:val="-2"/>
          <w:sz w:val="32"/>
          <w:szCs w:val="32"/>
          <w:highlight w:val="none"/>
          <w:lang w:eastAsia="zh-CN"/>
        </w:rPr>
      </w:pPr>
      <w:r>
        <w:rPr>
          <w:rFonts w:hint="eastAsia" w:ascii="Times New Roman" w:hAnsi="Times New Roman" w:eastAsia="仿宋" w:cs="仿宋"/>
          <w:b w:val="0"/>
          <w:bCs w:val="0"/>
          <w:spacing w:val="-2"/>
          <w:sz w:val="32"/>
          <w:szCs w:val="32"/>
          <w:highlight w:val="none"/>
          <w:lang w:eastAsia="zh-CN"/>
        </w:rPr>
        <w:t>规范的编制注重实践的社会效益、管理效益和经济效益。主要包括两方面的内容：对现有应用环境的保护，即选择的调查方法和防制方案最大限度的利用现有的人力、物资资源；对蚊虫防制延续性的保护，即防制方案的选择是可发展的，可以在一段时期内，确保防制工作的持续性与有效性。</w:t>
      </w:r>
    </w:p>
    <w:p w14:paraId="28A98380">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588" w:firstLineChars="200"/>
        <w:jc w:val="both"/>
        <w:textAlignment w:val="baseline"/>
        <w:outlineLvl w:val="1"/>
        <w:rPr>
          <w:rFonts w:hint="eastAsia" w:ascii="楷体" w:hAnsi="楷体" w:eastAsia="楷体" w:cs="楷体"/>
          <w:b w:val="0"/>
          <w:bCs w:val="0"/>
          <w:spacing w:val="-13"/>
          <w:sz w:val="32"/>
          <w:szCs w:val="32"/>
          <w:highlight w:val="none"/>
          <w:lang w:eastAsia="zh-CN"/>
        </w:rPr>
      </w:pPr>
      <w:bookmarkStart w:id="7" w:name="_Toc95652319"/>
      <w:r>
        <w:rPr>
          <w:rFonts w:hint="eastAsia" w:ascii="楷体" w:hAnsi="楷体" w:eastAsia="楷体" w:cs="楷体"/>
          <w:b w:val="0"/>
          <w:bCs w:val="0"/>
          <w:spacing w:val="-13"/>
          <w:sz w:val="32"/>
          <w:szCs w:val="32"/>
          <w:highlight w:val="none"/>
        </w:rPr>
        <w:t>（二）</w:t>
      </w:r>
      <w:r>
        <w:rPr>
          <w:rFonts w:hint="eastAsia" w:ascii="楷体" w:hAnsi="楷体" w:eastAsia="楷体" w:cs="楷体"/>
          <w:spacing w:val="-13"/>
          <w:sz w:val="32"/>
          <w:szCs w:val="32"/>
          <w:highlight w:val="none"/>
          <w:lang w:eastAsia="zh-CN"/>
        </w:rPr>
        <w:t>标准的主要内容</w:t>
      </w:r>
      <w:bookmarkEnd w:id="7"/>
    </w:p>
    <w:p w14:paraId="4D650AB7">
      <w:pPr>
        <w:keepNext w:val="0"/>
        <w:keepLines w:val="0"/>
        <w:pageBreakBefore w:val="0"/>
        <w:wordWrap/>
        <w:overflowPunct/>
        <w:topLinePunct w:val="0"/>
        <w:bidi w:val="0"/>
        <w:spacing w:line="600" w:lineRule="exact"/>
        <w:ind w:firstLine="632" w:firstLineChars="200"/>
        <w:jc w:val="both"/>
        <w:rPr>
          <w:rFonts w:ascii="Times New Roman" w:hAnsi="Times New Roman" w:eastAsia="仿宋" w:cs="宋体"/>
          <w:b w:val="0"/>
          <w:bCs w:val="0"/>
          <w:spacing w:val="-6"/>
          <w:sz w:val="32"/>
          <w:szCs w:val="32"/>
          <w:highlight w:val="none"/>
        </w:rPr>
      </w:pPr>
      <w:r>
        <w:rPr>
          <w:rFonts w:hint="eastAsia" w:ascii="Times New Roman" w:hAnsi="Times New Roman" w:eastAsia="仿宋" w:cs="仿宋"/>
          <w:spacing w:val="-2"/>
          <w:sz w:val="32"/>
          <w:szCs w:val="32"/>
          <w:highlight w:val="none"/>
          <w:lang w:val="en-US" w:eastAsia="zh-CN"/>
        </w:rPr>
        <w:t>本标准共有</w:t>
      </w:r>
      <w:r>
        <w:rPr>
          <w:rFonts w:hint="eastAsia" w:eastAsia="仿宋" w:cs="仿宋"/>
          <w:spacing w:val="-2"/>
          <w:sz w:val="32"/>
          <w:szCs w:val="32"/>
          <w:highlight w:val="none"/>
          <w:lang w:val="en-US" w:eastAsia="zh-CN"/>
        </w:rPr>
        <w:t>八</w:t>
      </w:r>
      <w:r>
        <w:rPr>
          <w:rFonts w:hint="eastAsia" w:ascii="Times New Roman" w:hAnsi="Times New Roman" w:eastAsia="仿宋" w:cs="仿宋"/>
          <w:spacing w:val="-2"/>
          <w:sz w:val="32"/>
          <w:szCs w:val="32"/>
          <w:highlight w:val="none"/>
          <w:lang w:val="en-US" w:eastAsia="zh-CN"/>
        </w:rPr>
        <w:t>个章节，分别为范围、规范性引用文件、术语和定义、基本要求、密度调查与评估方法、防制措施、防制效果评价和化学防制注意事项。</w:t>
      </w:r>
    </w:p>
    <w:p w14:paraId="405F26C3">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16" w:firstLineChars="200"/>
        <w:jc w:val="both"/>
        <w:textAlignment w:val="baseline"/>
        <w:rPr>
          <w:rFonts w:ascii="Times New Roman" w:hAnsi="Times New Roman" w:eastAsia="仿宋" w:cs="宋体"/>
          <w:b w:val="0"/>
          <w:bCs w:val="0"/>
          <w:spacing w:val="-6"/>
          <w:sz w:val="32"/>
          <w:szCs w:val="32"/>
          <w:highlight w:val="none"/>
        </w:rPr>
      </w:pPr>
      <w:r>
        <w:rPr>
          <w:rFonts w:ascii="Times New Roman" w:hAnsi="Times New Roman" w:eastAsia="仿宋" w:cs="宋体"/>
          <w:b w:val="0"/>
          <w:bCs w:val="0"/>
          <w:spacing w:val="-6"/>
          <w:sz w:val="32"/>
          <w:szCs w:val="32"/>
          <w:highlight w:val="none"/>
        </w:rPr>
        <w:t>1、2章分别给出了范围和规范性引用文件。</w:t>
      </w:r>
    </w:p>
    <w:p w14:paraId="11A1F2E2">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16" w:firstLineChars="200"/>
        <w:jc w:val="both"/>
        <w:textAlignment w:val="baseline"/>
        <w:rPr>
          <w:rFonts w:hint="eastAsia" w:ascii="Times New Roman" w:hAnsi="Times New Roman" w:eastAsia="仿宋" w:cs="宋体"/>
          <w:b w:val="0"/>
          <w:bCs w:val="0"/>
          <w:sz w:val="32"/>
          <w:szCs w:val="32"/>
          <w:highlight w:val="none"/>
          <w:lang w:eastAsia="zh-CN"/>
        </w:rPr>
      </w:pPr>
      <w:r>
        <w:rPr>
          <w:rFonts w:ascii="Times New Roman" w:hAnsi="Times New Roman" w:eastAsia="仿宋" w:cs="宋体"/>
          <w:b w:val="0"/>
          <w:bCs w:val="0"/>
          <w:spacing w:val="-6"/>
          <w:sz w:val="32"/>
          <w:szCs w:val="32"/>
          <w:highlight w:val="none"/>
        </w:rPr>
        <w:t>3</w:t>
      </w:r>
      <w:r>
        <w:rPr>
          <w:rFonts w:hint="eastAsia" w:ascii="Times New Roman" w:hAnsi="Times New Roman" w:eastAsia="仿宋" w:cs="宋体"/>
          <w:spacing w:val="-5"/>
          <w:sz w:val="32"/>
          <w:szCs w:val="32"/>
          <w:highlight w:val="none"/>
          <w:lang w:eastAsia="zh-CN"/>
        </w:rPr>
        <w:t>章</w:t>
      </w:r>
      <w:r>
        <w:rPr>
          <w:rFonts w:ascii="Times New Roman" w:hAnsi="Times New Roman" w:eastAsia="仿宋" w:cs="宋体"/>
          <w:b w:val="0"/>
          <w:bCs w:val="0"/>
          <w:spacing w:val="-6"/>
          <w:sz w:val="32"/>
          <w:szCs w:val="32"/>
          <w:highlight w:val="none"/>
        </w:rPr>
        <w:t>术语和定</w:t>
      </w:r>
      <w:r>
        <w:rPr>
          <w:rFonts w:ascii="Times New Roman" w:hAnsi="Times New Roman" w:eastAsia="仿宋" w:cs="宋体"/>
          <w:b w:val="0"/>
          <w:bCs w:val="0"/>
          <w:spacing w:val="-7"/>
          <w:sz w:val="32"/>
          <w:szCs w:val="32"/>
          <w:highlight w:val="none"/>
        </w:rPr>
        <w:t>义给出了</w:t>
      </w:r>
      <w:r>
        <w:rPr>
          <w:rFonts w:ascii="Times New Roman" w:hAnsi="Times New Roman" w:eastAsia="仿宋" w:cs="宋体"/>
          <w:b w:val="0"/>
          <w:bCs w:val="0"/>
          <w:spacing w:val="4"/>
          <w:sz w:val="32"/>
          <w:szCs w:val="32"/>
          <w:highlight w:val="none"/>
        </w:rPr>
        <w:t>本标准使用的</w:t>
      </w:r>
      <w:r>
        <w:rPr>
          <w:rFonts w:hint="eastAsia" w:ascii="Times New Roman" w:hAnsi="Times New Roman" w:eastAsia="仿宋" w:cs="宋体"/>
          <w:b w:val="0"/>
          <w:bCs w:val="0"/>
          <w:spacing w:val="4"/>
          <w:sz w:val="32"/>
          <w:szCs w:val="32"/>
          <w:highlight w:val="none"/>
          <w:lang w:eastAsia="zh-CN"/>
        </w:rPr>
        <w:t>蚊虫防制</w:t>
      </w:r>
      <w:r>
        <w:rPr>
          <w:rFonts w:ascii="Times New Roman" w:hAnsi="Times New Roman" w:eastAsia="仿宋" w:cs="宋体"/>
          <w:b w:val="0"/>
          <w:bCs w:val="0"/>
          <w:spacing w:val="4"/>
          <w:sz w:val="32"/>
          <w:szCs w:val="32"/>
          <w:highlight w:val="none"/>
        </w:rPr>
        <w:t>方面的定义</w:t>
      </w:r>
      <w:r>
        <w:rPr>
          <w:rFonts w:hint="eastAsia" w:ascii="Times New Roman" w:hAnsi="Times New Roman" w:eastAsia="仿宋" w:cs="宋体"/>
          <w:b w:val="0"/>
          <w:bCs w:val="0"/>
          <w:spacing w:val="4"/>
          <w:sz w:val="32"/>
          <w:szCs w:val="32"/>
          <w:highlight w:val="none"/>
          <w:lang w:eastAsia="zh-CN"/>
        </w:rPr>
        <w:t>。</w:t>
      </w:r>
    </w:p>
    <w:p w14:paraId="2B95C8C6">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16" w:firstLineChars="200"/>
        <w:jc w:val="both"/>
        <w:textAlignment w:val="baseline"/>
        <w:rPr>
          <w:rFonts w:hint="eastAsia" w:ascii="Times New Roman" w:hAnsi="Times New Roman" w:eastAsia="仿宋" w:cs="宋体"/>
          <w:b w:val="0"/>
          <w:bCs w:val="0"/>
          <w:spacing w:val="-6"/>
          <w:sz w:val="32"/>
          <w:szCs w:val="32"/>
          <w:highlight w:val="none"/>
          <w:lang w:eastAsia="zh-CN"/>
        </w:rPr>
      </w:pPr>
      <w:r>
        <w:rPr>
          <w:rFonts w:ascii="Times New Roman" w:hAnsi="Times New Roman" w:eastAsia="仿宋" w:cs="宋体"/>
          <w:b w:val="0"/>
          <w:bCs w:val="0"/>
          <w:spacing w:val="-6"/>
          <w:sz w:val="32"/>
          <w:szCs w:val="32"/>
          <w:highlight w:val="none"/>
        </w:rPr>
        <w:t>4</w:t>
      </w:r>
      <w:r>
        <w:rPr>
          <w:rFonts w:hint="eastAsia" w:ascii="Times New Roman" w:hAnsi="Times New Roman" w:eastAsia="仿宋" w:cs="宋体"/>
          <w:b w:val="0"/>
          <w:bCs w:val="0"/>
          <w:spacing w:val="-7"/>
          <w:sz w:val="32"/>
          <w:szCs w:val="32"/>
          <w:highlight w:val="none"/>
          <w:lang w:eastAsia="zh-CN"/>
        </w:rPr>
        <w:t>章</w:t>
      </w:r>
      <w:r>
        <w:rPr>
          <w:rFonts w:hint="eastAsia" w:ascii="Times New Roman" w:hAnsi="Times New Roman" w:eastAsia="仿宋" w:cs="宋体"/>
          <w:b w:val="0"/>
          <w:bCs w:val="0"/>
          <w:spacing w:val="-7"/>
          <w:sz w:val="32"/>
          <w:szCs w:val="32"/>
          <w:highlight w:val="none"/>
        </w:rPr>
        <w:t>基本要求</w:t>
      </w:r>
      <w:r>
        <w:rPr>
          <w:rFonts w:ascii="Times New Roman" w:hAnsi="Times New Roman" w:eastAsia="仿宋" w:cs="宋体"/>
          <w:b w:val="0"/>
          <w:bCs w:val="0"/>
          <w:spacing w:val="-7"/>
          <w:sz w:val="32"/>
          <w:szCs w:val="32"/>
          <w:highlight w:val="none"/>
        </w:rPr>
        <w:t>。</w:t>
      </w:r>
      <w:r>
        <w:rPr>
          <w:rFonts w:hint="eastAsia" w:ascii="Times New Roman" w:hAnsi="Times New Roman" w:eastAsia="仿宋" w:cs="宋体"/>
          <w:spacing w:val="-5"/>
          <w:sz w:val="32"/>
          <w:szCs w:val="32"/>
          <w:highlight w:val="none"/>
          <w:lang w:eastAsia="zh-CN"/>
        </w:rPr>
        <w:t>本章</w:t>
      </w:r>
      <w:r>
        <w:rPr>
          <w:rFonts w:ascii="Times New Roman" w:hAnsi="Times New Roman" w:eastAsia="仿宋" w:cs="宋体"/>
          <w:spacing w:val="-5"/>
          <w:sz w:val="32"/>
          <w:szCs w:val="32"/>
          <w:highlight w:val="none"/>
          <w:lang w:eastAsia="zh-CN"/>
        </w:rPr>
        <w:t>给出了</w:t>
      </w:r>
      <w:r>
        <w:rPr>
          <w:rFonts w:hint="eastAsia" w:ascii="Times New Roman" w:hAnsi="Times New Roman" w:eastAsia="仿宋" w:cs="宋体"/>
          <w:spacing w:val="-5"/>
          <w:sz w:val="32"/>
          <w:szCs w:val="32"/>
          <w:highlight w:val="none"/>
          <w:lang w:eastAsia="zh-CN"/>
        </w:rPr>
        <w:t>蚊虫防制的基本要求是</w:t>
      </w:r>
      <w:r>
        <w:rPr>
          <w:rFonts w:hint="eastAsia" w:ascii="Times New Roman" w:hAnsi="Times New Roman" w:eastAsia="仿宋" w:cs="宋体"/>
          <w:b w:val="0"/>
          <w:bCs w:val="0"/>
          <w:spacing w:val="-6"/>
          <w:sz w:val="32"/>
          <w:szCs w:val="32"/>
          <w:highlight w:val="none"/>
          <w:lang w:eastAsia="zh-CN"/>
        </w:rPr>
        <w:t>遵循综合防制原则，</w:t>
      </w:r>
      <w:r>
        <w:rPr>
          <w:rFonts w:hint="eastAsia"/>
          <w:highlight w:val="none"/>
        </w:rPr>
        <w:t>以环境治理为主，物理防制和生物防制优先、化学防制为辅</w:t>
      </w:r>
      <w:r>
        <w:rPr>
          <w:rFonts w:hint="eastAsia" w:ascii="Times New Roman" w:hAnsi="Times New Roman" w:eastAsia="仿宋" w:cs="宋体"/>
          <w:b w:val="0"/>
          <w:bCs w:val="0"/>
          <w:spacing w:val="-6"/>
          <w:sz w:val="32"/>
          <w:szCs w:val="32"/>
          <w:highlight w:val="none"/>
          <w:lang w:eastAsia="zh-CN"/>
        </w:rPr>
        <w:t>。</w:t>
      </w:r>
    </w:p>
    <w:p w14:paraId="131989F3">
      <w:pPr>
        <w:pStyle w:val="15"/>
        <w:keepNext w:val="0"/>
        <w:keepLines w:val="0"/>
        <w:pageBreakBefore w:val="0"/>
        <w:numPr>
          <w:ilvl w:val="2"/>
          <w:numId w:val="0"/>
        </w:numPr>
        <w:wordWrap/>
        <w:overflowPunct/>
        <w:topLinePunct w:val="0"/>
        <w:bidi w:val="0"/>
        <w:spacing w:before="0" w:beforeLines="0" w:after="0" w:afterLines="0" w:line="600" w:lineRule="exact"/>
        <w:ind w:leftChars="0" w:firstLine="620" w:firstLineChars="200"/>
        <w:jc w:val="both"/>
        <w:rPr>
          <w:rFonts w:hint="eastAsia"/>
          <w:highlight w:val="none"/>
        </w:rPr>
      </w:pPr>
      <w:r>
        <w:rPr>
          <w:rFonts w:ascii="Times New Roman" w:hAnsi="Times New Roman" w:eastAsia="仿宋" w:cs="宋体"/>
          <w:b w:val="0"/>
          <w:bCs w:val="0"/>
          <w:spacing w:val="-5"/>
          <w:sz w:val="32"/>
          <w:szCs w:val="32"/>
          <w:highlight w:val="none"/>
        </w:rPr>
        <w:t>5</w:t>
      </w:r>
      <w:r>
        <w:rPr>
          <w:rFonts w:hint="eastAsia" w:ascii="Times New Roman" w:hAnsi="Times New Roman" w:eastAsia="仿宋" w:cs="宋体"/>
          <w:spacing w:val="-5"/>
          <w:sz w:val="32"/>
          <w:szCs w:val="32"/>
          <w:highlight w:val="none"/>
          <w:lang w:eastAsia="zh-CN"/>
        </w:rPr>
        <w:t>章</w:t>
      </w:r>
      <w:r>
        <w:rPr>
          <w:rFonts w:hint="eastAsia" w:ascii="Times New Roman" w:hAnsi="Times New Roman" w:eastAsia="仿宋" w:cs="宋体"/>
          <w:b w:val="0"/>
          <w:bCs w:val="0"/>
          <w:spacing w:val="-5"/>
          <w:sz w:val="32"/>
          <w:szCs w:val="32"/>
          <w:highlight w:val="none"/>
          <w:lang w:eastAsia="zh-CN"/>
        </w:rPr>
        <w:t>密度调查</w:t>
      </w:r>
      <w:r>
        <w:rPr>
          <w:rFonts w:hint="eastAsia" w:ascii="Times New Roman" w:hAnsi="Times New Roman" w:eastAsia="仿宋" w:cs="宋体"/>
          <w:spacing w:val="-5"/>
          <w:sz w:val="32"/>
          <w:szCs w:val="32"/>
          <w:highlight w:val="none"/>
          <w:lang w:eastAsia="zh-CN"/>
        </w:rPr>
        <w:t>与评估方法</w:t>
      </w:r>
      <w:r>
        <w:rPr>
          <w:rFonts w:ascii="Times New Roman" w:hAnsi="Times New Roman" w:eastAsia="仿宋" w:cs="宋体"/>
          <w:b w:val="0"/>
          <w:bCs w:val="0"/>
          <w:spacing w:val="-5"/>
          <w:sz w:val="32"/>
          <w:szCs w:val="32"/>
          <w:highlight w:val="none"/>
        </w:rPr>
        <w:t>。</w:t>
      </w:r>
      <w:r>
        <w:rPr>
          <w:rFonts w:hint="eastAsia" w:ascii="Times New Roman" w:hAnsi="Times New Roman" w:eastAsia="仿宋" w:cs="宋体"/>
          <w:b w:val="0"/>
          <w:bCs w:val="0"/>
          <w:spacing w:val="-5"/>
          <w:sz w:val="32"/>
          <w:szCs w:val="32"/>
          <w:highlight w:val="none"/>
          <w:lang w:eastAsia="zh-CN"/>
        </w:rPr>
        <w:t>本章</w:t>
      </w:r>
      <w:r>
        <w:rPr>
          <w:rFonts w:ascii="Times New Roman" w:hAnsi="Times New Roman" w:eastAsia="仿宋" w:cs="宋体"/>
          <w:b w:val="0"/>
          <w:bCs w:val="0"/>
          <w:spacing w:val="-5"/>
          <w:sz w:val="32"/>
          <w:szCs w:val="32"/>
          <w:highlight w:val="none"/>
        </w:rPr>
        <w:t>给出了</w:t>
      </w:r>
      <w:r>
        <w:rPr>
          <w:rFonts w:hint="eastAsia" w:ascii="Times New Roman" w:hAnsi="Times New Roman" w:eastAsia="仿宋" w:cs="宋体"/>
          <w:spacing w:val="-5"/>
          <w:sz w:val="32"/>
          <w:szCs w:val="32"/>
          <w:highlight w:val="none"/>
          <w:lang w:eastAsia="zh-CN"/>
        </w:rPr>
        <w:t>蚊虫</w:t>
      </w:r>
      <w:r>
        <w:rPr>
          <w:rFonts w:hint="eastAsia" w:ascii="Times New Roman" w:hAnsi="Times New Roman" w:eastAsia="仿宋" w:cs="宋体"/>
          <w:b w:val="0"/>
          <w:bCs w:val="0"/>
          <w:spacing w:val="-5"/>
          <w:sz w:val="32"/>
          <w:szCs w:val="32"/>
          <w:highlight w:val="none"/>
          <w:lang w:eastAsia="zh-CN"/>
        </w:rPr>
        <w:t>密度调查的方法：</w:t>
      </w:r>
      <w:r>
        <w:rPr>
          <w:rFonts w:hint="eastAsia" w:ascii="Times New Roman" w:hAnsi="Times New Roman" w:eastAsia="仿宋" w:cs="宋体"/>
          <w:b w:val="0"/>
          <w:bCs w:val="0"/>
          <w:spacing w:val="-5"/>
          <w:sz w:val="32"/>
          <w:szCs w:val="32"/>
          <w:highlight w:val="none"/>
          <w:lang w:val="en-US" w:eastAsia="zh-CN"/>
        </w:rPr>
        <w:t>诱蚊灯法、双层叠帐法、路径法、勺捕法及布雷图指数法。</w:t>
      </w:r>
    </w:p>
    <w:p w14:paraId="0F647136">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16" w:firstLineChars="200"/>
        <w:jc w:val="both"/>
        <w:textAlignment w:val="baseline"/>
        <w:rPr>
          <w:rFonts w:ascii="Times New Roman" w:hAnsi="Times New Roman" w:eastAsia="仿宋" w:cs="宋体"/>
          <w:b w:val="0"/>
          <w:bCs w:val="0"/>
          <w:spacing w:val="-4"/>
          <w:sz w:val="32"/>
          <w:szCs w:val="32"/>
          <w:highlight w:val="none"/>
        </w:rPr>
      </w:pPr>
      <w:r>
        <w:rPr>
          <w:rFonts w:ascii="Times New Roman" w:hAnsi="Times New Roman" w:eastAsia="仿宋" w:cs="宋体"/>
          <w:b w:val="0"/>
          <w:bCs w:val="0"/>
          <w:spacing w:val="-6"/>
          <w:sz w:val="32"/>
          <w:szCs w:val="32"/>
          <w:highlight w:val="none"/>
        </w:rPr>
        <w:t>6</w:t>
      </w:r>
      <w:r>
        <w:rPr>
          <w:rFonts w:hint="eastAsia" w:ascii="Times New Roman" w:hAnsi="Times New Roman" w:eastAsia="仿宋" w:cs="宋体"/>
          <w:spacing w:val="-5"/>
          <w:sz w:val="32"/>
          <w:szCs w:val="32"/>
          <w:highlight w:val="none"/>
          <w:lang w:eastAsia="zh-CN"/>
        </w:rPr>
        <w:t>章</w:t>
      </w:r>
      <w:r>
        <w:rPr>
          <w:rFonts w:hint="eastAsia" w:ascii="Times New Roman" w:hAnsi="Times New Roman" w:eastAsia="仿宋" w:cs="宋体"/>
          <w:b w:val="0"/>
          <w:bCs w:val="0"/>
          <w:spacing w:val="-6"/>
          <w:sz w:val="32"/>
          <w:szCs w:val="32"/>
          <w:highlight w:val="none"/>
        </w:rPr>
        <w:t>防制</w:t>
      </w:r>
      <w:r>
        <w:rPr>
          <w:rFonts w:hint="eastAsia" w:ascii="Times New Roman" w:hAnsi="Times New Roman" w:eastAsia="仿宋" w:cs="宋体"/>
          <w:b w:val="0"/>
          <w:bCs w:val="0"/>
          <w:spacing w:val="-6"/>
          <w:sz w:val="32"/>
          <w:szCs w:val="32"/>
          <w:highlight w:val="none"/>
          <w:lang w:eastAsia="zh-CN"/>
        </w:rPr>
        <w:t>措施</w:t>
      </w:r>
      <w:r>
        <w:rPr>
          <w:rFonts w:ascii="Times New Roman" w:hAnsi="Times New Roman" w:eastAsia="仿宋" w:cs="宋体"/>
          <w:b w:val="0"/>
          <w:bCs w:val="0"/>
          <w:spacing w:val="-6"/>
          <w:sz w:val="32"/>
          <w:szCs w:val="32"/>
          <w:highlight w:val="none"/>
        </w:rPr>
        <w:t>。本章给出了</w:t>
      </w:r>
      <w:r>
        <w:rPr>
          <w:rFonts w:hint="eastAsia" w:ascii="Times New Roman" w:hAnsi="Times New Roman" w:eastAsia="仿宋" w:cs="宋体"/>
          <w:b w:val="0"/>
          <w:bCs w:val="0"/>
          <w:spacing w:val="-6"/>
          <w:sz w:val="32"/>
          <w:szCs w:val="32"/>
          <w:highlight w:val="none"/>
          <w:lang w:eastAsia="zh-CN"/>
        </w:rPr>
        <w:t>具体的</w:t>
      </w:r>
      <w:r>
        <w:rPr>
          <w:rFonts w:hint="eastAsia" w:ascii="Times New Roman" w:hAnsi="Times New Roman" w:eastAsia="仿宋" w:cs="宋体"/>
          <w:spacing w:val="-5"/>
          <w:sz w:val="32"/>
          <w:szCs w:val="32"/>
          <w:highlight w:val="none"/>
          <w:lang w:eastAsia="zh-CN"/>
        </w:rPr>
        <w:t>蚊虫</w:t>
      </w:r>
      <w:r>
        <w:rPr>
          <w:rFonts w:hint="eastAsia" w:ascii="Times New Roman" w:hAnsi="Times New Roman" w:eastAsia="仿宋" w:cs="宋体"/>
          <w:b w:val="0"/>
          <w:bCs w:val="0"/>
          <w:spacing w:val="-6"/>
          <w:sz w:val="32"/>
          <w:szCs w:val="32"/>
          <w:highlight w:val="none"/>
          <w:lang w:eastAsia="zh-CN"/>
        </w:rPr>
        <w:t>防制方案，按照环境治理、生物防制、物理防制及化学防制四方面给出不同</w:t>
      </w:r>
      <w:r>
        <w:rPr>
          <w:rFonts w:hint="eastAsia" w:ascii="Times New Roman" w:hAnsi="Times New Roman" w:eastAsia="仿宋" w:cs="宋体"/>
          <w:spacing w:val="-5"/>
          <w:sz w:val="32"/>
          <w:szCs w:val="32"/>
          <w:highlight w:val="none"/>
          <w:lang w:eastAsia="zh-CN"/>
        </w:rPr>
        <w:t>蚊虫</w:t>
      </w:r>
      <w:r>
        <w:rPr>
          <w:rFonts w:hint="eastAsia" w:ascii="Times New Roman" w:hAnsi="Times New Roman" w:eastAsia="仿宋" w:cs="宋体"/>
          <w:b w:val="0"/>
          <w:bCs w:val="0"/>
          <w:spacing w:val="-6"/>
          <w:sz w:val="32"/>
          <w:szCs w:val="32"/>
          <w:highlight w:val="none"/>
          <w:lang w:eastAsia="zh-CN"/>
        </w:rPr>
        <w:t>防制方法，</w:t>
      </w:r>
      <w:r>
        <w:rPr>
          <w:rFonts w:ascii="Times New Roman" w:hAnsi="Times New Roman" w:eastAsia="仿宋" w:cs="宋体"/>
          <w:b w:val="0"/>
          <w:bCs w:val="0"/>
          <w:spacing w:val="-4"/>
          <w:sz w:val="32"/>
          <w:szCs w:val="32"/>
          <w:highlight w:val="none"/>
        </w:rPr>
        <w:t>均来自实践工作总结后提出。</w:t>
      </w:r>
    </w:p>
    <w:p w14:paraId="3905157F">
      <w:pPr>
        <w:keepNext w:val="0"/>
        <w:keepLines w:val="0"/>
        <w:pageBreakBefore w:val="0"/>
        <w:wordWrap/>
        <w:overflowPunct/>
        <w:topLinePunct w:val="0"/>
        <w:bidi w:val="0"/>
        <w:spacing w:line="600" w:lineRule="exact"/>
        <w:ind w:firstLine="616" w:firstLineChars="200"/>
        <w:jc w:val="both"/>
        <w:rPr>
          <w:rFonts w:ascii="Times New Roman" w:hAnsi="Times New Roman" w:eastAsia="仿宋" w:cs="宋体"/>
          <w:spacing w:val="-4"/>
          <w:sz w:val="32"/>
          <w:szCs w:val="32"/>
          <w:highlight w:val="none"/>
          <w:lang w:eastAsia="zh-CN"/>
        </w:rPr>
      </w:pPr>
      <w:r>
        <w:rPr>
          <w:rFonts w:hint="eastAsia" w:ascii="Times New Roman" w:hAnsi="Times New Roman" w:eastAsia="仿宋" w:cs="宋体"/>
          <w:spacing w:val="-6"/>
          <w:sz w:val="32"/>
          <w:szCs w:val="32"/>
          <w:highlight w:val="none"/>
          <w:lang w:eastAsia="zh-CN"/>
        </w:rPr>
        <w:t>7章防制效果评价。依据GB/T 27771中的规定，对防制效果进行评价</w:t>
      </w:r>
      <w:r>
        <w:rPr>
          <w:rFonts w:ascii="Times New Roman" w:hAnsi="Times New Roman" w:eastAsia="仿宋" w:cs="宋体"/>
          <w:spacing w:val="-4"/>
          <w:sz w:val="32"/>
          <w:szCs w:val="32"/>
          <w:highlight w:val="none"/>
          <w:lang w:eastAsia="zh-CN"/>
        </w:rPr>
        <w:t>。</w:t>
      </w:r>
    </w:p>
    <w:p w14:paraId="05C25CEC">
      <w:pPr>
        <w:keepNext w:val="0"/>
        <w:keepLines w:val="0"/>
        <w:pageBreakBefore w:val="0"/>
        <w:wordWrap/>
        <w:overflowPunct/>
        <w:topLinePunct w:val="0"/>
        <w:bidi w:val="0"/>
        <w:spacing w:line="600" w:lineRule="exact"/>
        <w:ind w:firstLine="624" w:firstLineChars="200"/>
        <w:jc w:val="both"/>
        <w:rPr>
          <w:rFonts w:ascii="Times New Roman" w:hAnsi="Times New Roman" w:eastAsia="仿宋" w:cs="宋体"/>
          <w:spacing w:val="-4"/>
          <w:sz w:val="32"/>
          <w:szCs w:val="32"/>
          <w:highlight w:val="none"/>
          <w:lang w:eastAsia="zh-CN"/>
        </w:rPr>
      </w:pPr>
      <w:r>
        <w:rPr>
          <w:rFonts w:hint="eastAsia" w:ascii="Times New Roman" w:hAnsi="Times New Roman" w:eastAsia="仿宋" w:cs="宋体"/>
          <w:spacing w:val="-4"/>
          <w:sz w:val="32"/>
          <w:szCs w:val="32"/>
          <w:highlight w:val="none"/>
          <w:lang w:eastAsia="zh-CN"/>
        </w:rPr>
        <w:t>8章化学防制注意事项。本章给出了具体的</w:t>
      </w:r>
      <w:r>
        <w:rPr>
          <w:rFonts w:hint="eastAsia" w:eastAsia="仿宋" w:cs="宋体"/>
          <w:spacing w:val="-4"/>
          <w:sz w:val="32"/>
          <w:szCs w:val="32"/>
          <w:highlight w:val="none"/>
          <w:lang w:eastAsia="zh-CN"/>
        </w:rPr>
        <w:t>蚊虫</w:t>
      </w:r>
      <w:r>
        <w:rPr>
          <w:rFonts w:hint="eastAsia" w:ascii="Times New Roman" w:hAnsi="Times New Roman" w:eastAsia="仿宋" w:cs="宋体"/>
          <w:spacing w:val="-4"/>
          <w:sz w:val="32"/>
          <w:szCs w:val="32"/>
          <w:highlight w:val="none"/>
          <w:lang w:eastAsia="zh-CN"/>
        </w:rPr>
        <w:t>化学防制中针对个人防护</w:t>
      </w:r>
      <w:r>
        <w:rPr>
          <w:rFonts w:hint="eastAsia" w:eastAsia="仿宋" w:cs="宋体"/>
          <w:spacing w:val="-4"/>
          <w:sz w:val="32"/>
          <w:szCs w:val="32"/>
          <w:highlight w:val="none"/>
          <w:lang w:eastAsia="zh-CN"/>
        </w:rPr>
        <w:t>及药品使用</w:t>
      </w:r>
      <w:r>
        <w:rPr>
          <w:rFonts w:hint="eastAsia" w:ascii="Times New Roman" w:hAnsi="Times New Roman" w:eastAsia="仿宋" w:cs="宋体"/>
          <w:spacing w:val="-4"/>
          <w:sz w:val="32"/>
          <w:szCs w:val="32"/>
          <w:highlight w:val="none"/>
          <w:lang w:eastAsia="zh-CN"/>
        </w:rPr>
        <w:t>的注意事项。</w:t>
      </w:r>
    </w:p>
    <w:p w14:paraId="770AFCFA">
      <w:pPr>
        <w:keepNext w:val="0"/>
        <w:keepLines w:val="0"/>
        <w:pageBreakBefore w:val="0"/>
        <w:widowControl/>
        <w:numPr>
          <w:ilvl w:val="0"/>
          <w:numId w:val="3"/>
        </w:numPr>
        <w:kinsoku w:val="0"/>
        <w:wordWrap/>
        <w:overflowPunct/>
        <w:topLinePunct w:val="0"/>
        <w:autoSpaceDE w:val="0"/>
        <w:autoSpaceDN w:val="0"/>
        <w:bidi w:val="0"/>
        <w:adjustRightInd w:val="0"/>
        <w:snapToGrid w:val="0"/>
        <w:spacing w:line="600" w:lineRule="exact"/>
        <w:ind w:right="0" w:firstLine="668" w:firstLineChars="200"/>
        <w:jc w:val="both"/>
        <w:textAlignment w:val="baseline"/>
        <w:outlineLvl w:val="0"/>
        <w:rPr>
          <w:rFonts w:hint="eastAsia" w:ascii="黑体" w:hAnsi="黑体" w:eastAsia="黑体" w:cs="黑体"/>
          <w:b w:val="0"/>
          <w:bCs w:val="0"/>
          <w:spacing w:val="7"/>
          <w:sz w:val="32"/>
          <w:szCs w:val="32"/>
          <w:highlight w:val="none"/>
        </w:rPr>
      </w:pPr>
      <w:bookmarkStart w:id="8" w:name="_Toc580330661"/>
      <w:r>
        <w:rPr>
          <w:rFonts w:hint="eastAsia" w:ascii="黑体" w:hAnsi="黑体" w:eastAsia="黑体" w:cs="黑体"/>
          <w:b w:val="0"/>
          <w:bCs w:val="0"/>
          <w:spacing w:val="7"/>
          <w:sz w:val="32"/>
          <w:szCs w:val="32"/>
          <w:highlight w:val="none"/>
        </w:rPr>
        <w:t>主要试验（或验证）的分析、综述报告，技术经济论证，预</w:t>
      </w:r>
      <w:bookmarkStart w:id="9" w:name="bookmark11"/>
      <w:bookmarkEnd w:id="9"/>
      <w:r>
        <w:rPr>
          <w:rFonts w:hint="eastAsia" w:ascii="黑体" w:hAnsi="黑体" w:eastAsia="黑体" w:cs="黑体"/>
          <w:b w:val="0"/>
          <w:bCs w:val="0"/>
          <w:spacing w:val="7"/>
          <w:sz w:val="32"/>
          <w:szCs w:val="32"/>
          <w:highlight w:val="none"/>
        </w:rPr>
        <w:t>期经济社会生态效益分析</w:t>
      </w:r>
      <w:bookmarkEnd w:id="8"/>
    </w:p>
    <w:p w14:paraId="3D101C61">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588" w:firstLineChars="200"/>
        <w:jc w:val="both"/>
        <w:textAlignment w:val="baseline"/>
        <w:outlineLvl w:val="1"/>
        <w:rPr>
          <w:rFonts w:hint="eastAsia" w:ascii="黑体" w:hAnsi="黑体" w:eastAsia="黑体" w:cs="黑体"/>
          <w:b w:val="0"/>
          <w:bCs w:val="0"/>
          <w:spacing w:val="7"/>
          <w:sz w:val="32"/>
          <w:szCs w:val="32"/>
          <w:highlight w:val="none"/>
        </w:rPr>
      </w:pPr>
      <w:r>
        <w:rPr>
          <w:rFonts w:hint="eastAsia" w:ascii="楷体" w:hAnsi="楷体" w:eastAsia="楷体" w:cs="楷体"/>
          <w:b w:val="0"/>
          <w:bCs w:val="0"/>
          <w:spacing w:val="-13"/>
          <w:sz w:val="32"/>
          <w:szCs w:val="32"/>
          <w:highlight w:val="none"/>
        </w:rPr>
        <w:t>（一）主要</w:t>
      </w:r>
      <w:r>
        <w:rPr>
          <w:rFonts w:hint="eastAsia" w:ascii="楷体" w:hAnsi="楷体" w:eastAsia="楷体" w:cs="楷体"/>
          <w:b w:val="0"/>
          <w:bCs w:val="0"/>
          <w:spacing w:val="-13"/>
          <w:sz w:val="32"/>
          <w:szCs w:val="32"/>
          <w:highlight w:val="none"/>
          <w:lang w:eastAsia="zh-CN"/>
        </w:rPr>
        <w:t>验证的分析、综述报告</w:t>
      </w:r>
    </w:p>
    <w:p w14:paraId="2823AB9D">
      <w:pPr>
        <w:keepNext w:val="0"/>
        <w:keepLines w:val="0"/>
        <w:pageBreakBefore w:val="0"/>
        <w:wordWrap/>
        <w:overflowPunct/>
        <w:topLinePunct w:val="0"/>
        <w:bidi w:val="0"/>
        <w:spacing w:line="600" w:lineRule="exact"/>
        <w:ind w:firstLine="616" w:firstLineChars="200"/>
        <w:jc w:val="both"/>
        <w:rPr>
          <w:rFonts w:hint="eastAsia" w:ascii="Times New Roman" w:hAnsi="Times New Roman" w:eastAsia="仿宋" w:cs="宋体"/>
          <w:spacing w:val="-6"/>
          <w:sz w:val="32"/>
          <w:szCs w:val="32"/>
          <w:highlight w:val="none"/>
          <w:lang w:val="en-US" w:eastAsia="zh-CN"/>
        </w:rPr>
      </w:pPr>
      <w:r>
        <w:rPr>
          <w:rFonts w:hint="eastAsia" w:ascii="Times New Roman" w:hAnsi="Times New Roman" w:eastAsia="仿宋" w:cs="宋体"/>
          <w:spacing w:val="-6"/>
          <w:sz w:val="32"/>
          <w:szCs w:val="32"/>
          <w:highlight w:val="none"/>
          <w:lang w:val="en-US" w:eastAsia="zh-CN"/>
        </w:rPr>
        <w:t>1.密度调查准确性</w:t>
      </w:r>
    </w:p>
    <w:p w14:paraId="3EF42725">
      <w:pPr>
        <w:keepNext w:val="0"/>
        <w:keepLines w:val="0"/>
        <w:pageBreakBefore w:val="0"/>
        <w:wordWrap/>
        <w:overflowPunct/>
        <w:topLinePunct w:val="0"/>
        <w:bidi w:val="0"/>
        <w:spacing w:line="600" w:lineRule="exact"/>
        <w:ind w:firstLine="616" w:firstLineChars="200"/>
        <w:jc w:val="both"/>
        <w:rPr>
          <w:rFonts w:hint="eastAsia" w:ascii="Times New Roman" w:hAnsi="Times New Roman" w:eastAsia="仿宋" w:cs="宋体"/>
          <w:spacing w:val="-6"/>
          <w:sz w:val="32"/>
          <w:szCs w:val="32"/>
          <w:highlight w:val="none"/>
          <w:lang w:val="en-US" w:eastAsia="zh-CN"/>
        </w:rPr>
      </w:pPr>
      <w:r>
        <w:rPr>
          <w:rFonts w:hint="eastAsia" w:ascii="Times New Roman" w:hAnsi="Times New Roman" w:eastAsia="仿宋" w:cs="宋体"/>
          <w:spacing w:val="-6"/>
          <w:sz w:val="32"/>
          <w:szCs w:val="32"/>
          <w:highlight w:val="none"/>
          <w:lang w:val="en-US" w:eastAsia="zh-CN"/>
        </w:rPr>
        <w:t>项目组依据标准草案各核心条款的要求，结合</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栖息、繁殖的生态习性及不同场景的防制难点，前期在我省全省范围内14个市均开展</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的生态学监测，覆盖我省各市典型区域，选取</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密度较高、防控需求迫切</w:t>
      </w:r>
      <w:r>
        <w:rPr>
          <w:rFonts w:hint="default" w:ascii="Times New Roman" w:hAnsi="Times New Roman" w:eastAsia="仿宋" w:cs="宋体"/>
          <w:spacing w:val="-6"/>
          <w:sz w:val="32"/>
          <w:szCs w:val="32"/>
          <w:highlight w:val="none"/>
          <w:lang w:val="en-US" w:eastAsia="zh-CN"/>
        </w:rPr>
        <w:t>的</w:t>
      </w:r>
      <w:r>
        <w:rPr>
          <w:rFonts w:hint="eastAsia" w:ascii="Times New Roman" w:hAnsi="Times New Roman" w:eastAsia="仿宋" w:cs="宋体"/>
          <w:spacing w:val="-6"/>
          <w:sz w:val="32"/>
          <w:szCs w:val="32"/>
          <w:highlight w:val="none"/>
          <w:lang w:val="en-US" w:eastAsia="zh-CN"/>
        </w:rPr>
        <w:t>监测点，每类选取代表性监测点。经过多次监测调查与统计计算，密度调查数据呈现出显著的一致性与稳定性，充分验证了密度调查方案的准确性。</w:t>
      </w:r>
    </w:p>
    <w:p w14:paraId="32A3A408">
      <w:pPr>
        <w:keepNext w:val="0"/>
        <w:keepLines w:val="0"/>
        <w:pageBreakBefore w:val="0"/>
        <w:numPr>
          <w:ilvl w:val="0"/>
          <w:numId w:val="0"/>
        </w:numPr>
        <w:wordWrap/>
        <w:overflowPunct/>
        <w:topLinePunct w:val="0"/>
        <w:bidi w:val="0"/>
        <w:spacing w:line="600" w:lineRule="exact"/>
        <w:ind w:firstLine="616" w:firstLineChars="200"/>
        <w:jc w:val="both"/>
        <w:rPr>
          <w:rFonts w:hint="eastAsia" w:ascii="Times New Roman" w:hAnsi="Times New Roman" w:eastAsia="仿宋" w:cs="宋体"/>
          <w:spacing w:val="-6"/>
          <w:sz w:val="32"/>
          <w:szCs w:val="32"/>
          <w:highlight w:val="none"/>
          <w:lang w:val="en-US" w:eastAsia="zh-CN"/>
        </w:rPr>
      </w:pPr>
      <w:r>
        <w:rPr>
          <w:rFonts w:hint="eastAsia" w:ascii="Times New Roman" w:hAnsi="Times New Roman" w:eastAsia="仿宋" w:cs="宋体"/>
          <w:spacing w:val="-6"/>
          <w:sz w:val="32"/>
          <w:szCs w:val="32"/>
          <w:highlight w:val="none"/>
          <w:lang w:val="en-US" w:eastAsia="zh-CN"/>
        </w:rPr>
        <w:t>2.综合防制技术验证</w:t>
      </w:r>
    </w:p>
    <w:p w14:paraId="7477A90E">
      <w:pPr>
        <w:keepNext w:val="0"/>
        <w:keepLines w:val="0"/>
        <w:pageBreakBefore w:val="0"/>
        <w:numPr>
          <w:ilvl w:val="0"/>
          <w:numId w:val="0"/>
        </w:numPr>
        <w:wordWrap/>
        <w:overflowPunct/>
        <w:topLinePunct w:val="0"/>
        <w:bidi w:val="0"/>
        <w:spacing w:line="600" w:lineRule="exact"/>
        <w:ind w:firstLine="616" w:firstLineChars="200"/>
        <w:jc w:val="both"/>
        <w:rPr>
          <w:rFonts w:hint="default" w:ascii="Times New Roman" w:hAnsi="Times New Roman" w:eastAsia="仿宋" w:cs="宋体"/>
          <w:spacing w:val="-6"/>
          <w:sz w:val="32"/>
          <w:szCs w:val="32"/>
          <w:highlight w:val="none"/>
          <w:lang w:val="en-US" w:eastAsia="zh-CN"/>
        </w:rPr>
      </w:pPr>
      <w:r>
        <w:rPr>
          <w:rFonts w:hint="default" w:ascii="Times New Roman" w:hAnsi="Times New Roman" w:eastAsia="仿宋" w:cs="宋体"/>
          <w:spacing w:val="-6"/>
          <w:sz w:val="32"/>
          <w:szCs w:val="32"/>
          <w:highlight w:val="none"/>
          <w:lang w:val="en-US" w:eastAsia="zh-CN"/>
        </w:rPr>
        <w:t>在综合防制技术验证方面，所有测试点严格按照本标准条款</w:t>
      </w:r>
      <w:r>
        <w:rPr>
          <w:rFonts w:hint="eastAsia" w:ascii="Times New Roman" w:hAnsi="Times New Roman" w:eastAsia="仿宋" w:cs="宋体"/>
          <w:spacing w:val="-6"/>
          <w:sz w:val="32"/>
          <w:szCs w:val="32"/>
          <w:highlight w:val="none"/>
          <w:lang w:val="en-US" w:eastAsia="zh-CN"/>
        </w:rPr>
        <w:t>的技术</w:t>
      </w:r>
      <w:r>
        <w:rPr>
          <w:rFonts w:hint="default" w:ascii="Times New Roman" w:hAnsi="Times New Roman" w:eastAsia="仿宋" w:cs="宋体"/>
          <w:spacing w:val="-6"/>
          <w:sz w:val="32"/>
          <w:szCs w:val="32"/>
          <w:highlight w:val="none"/>
          <w:lang w:val="en-US" w:eastAsia="zh-CN"/>
        </w:rPr>
        <w:t>要求</w:t>
      </w:r>
      <w:r>
        <w:rPr>
          <w:rFonts w:hint="eastAsia" w:ascii="Times New Roman" w:hAnsi="Times New Roman" w:eastAsia="仿宋" w:cs="宋体"/>
          <w:spacing w:val="-6"/>
          <w:sz w:val="32"/>
          <w:szCs w:val="32"/>
          <w:highlight w:val="none"/>
          <w:lang w:val="en-US" w:eastAsia="zh-CN"/>
        </w:rPr>
        <w:t>，采用环境治理+生物防制+物理防制+化学防制的综合防制</w:t>
      </w:r>
      <w:r>
        <w:rPr>
          <w:rFonts w:hint="eastAsia" w:eastAsia="仿宋" w:cs="宋体"/>
          <w:spacing w:val="-6"/>
          <w:sz w:val="32"/>
          <w:szCs w:val="32"/>
          <w:highlight w:val="none"/>
          <w:lang w:val="en-US" w:eastAsia="zh-CN"/>
        </w:rPr>
        <w:t>措施</w:t>
      </w:r>
      <w:r>
        <w:rPr>
          <w:rFonts w:hint="eastAsia" w:ascii="Times New Roman" w:hAnsi="Times New Roman" w:eastAsia="仿宋" w:cs="宋体"/>
          <w:spacing w:val="-6"/>
          <w:sz w:val="32"/>
          <w:szCs w:val="32"/>
          <w:highlight w:val="none"/>
          <w:lang w:val="en-US" w:eastAsia="zh-CN"/>
        </w:rPr>
        <w:t>，通过以环境治理为主清除</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孳生环境；优先使用</w:t>
      </w:r>
      <w:r>
        <w:rPr>
          <w:rFonts w:hint="eastAsia" w:eastAsia="仿宋" w:cs="宋体"/>
          <w:spacing w:val="-6"/>
          <w:sz w:val="32"/>
          <w:szCs w:val="32"/>
          <w:highlight w:val="none"/>
          <w:lang w:val="en-US" w:eastAsia="zh-CN"/>
        </w:rPr>
        <w:t>养鱼的生物防制措施和安装纱门纱窗、蚊帐等物理防制措施；以化学防制措施为辅，精准</w:t>
      </w:r>
      <w:r>
        <w:rPr>
          <w:rFonts w:hint="eastAsia" w:ascii="Times New Roman" w:hAnsi="Times New Roman" w:eastAsia="仿宋" w:cs="宋体"/>
          <w:spacing w:val="-6"/>
          <w:sz w:val="32"/>
          <w:szCs w:val="32"/>
          <w:highlight w:val="none"/>
          <w:lang w:val="en-US" w:eastAsia="zh-CN"/>
        </w:rPr>
        <w:t>灭杀</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展现出最优防制成效，符合标准技术要求，说明本标准核心条款设定的技术参数、操作流程与效果指标具有较强的实操性与科学性。在化学防制等操作环节，作业人员严格遵守标准要求的注意事项，遵循“先防护后操作”的规范流程，全程未发生人员皮肤接触刺激、呼吸道不适等安全事件，有效避免了药剂带来的健康风险。</w:t>
      </w:r>
    </w:p>
    <w:p w14:paraId="3C9FC7E5">
      <w:pPr>
        <w:keepNext w:val="0"/>
        <w:keepLines w:val="0"/>
        <w:pageBreakBefore w:val="0"/>
        <w:wordWrap/>
        <w:overflowPunct/>
        <w:topLinePunct w:val="0"/>
        <w:bidi w:val="0"/>
        <w:spacing w:line="600" w:lineRule="exact"/>
        <w:ind w:firstLine="616" w:firstLineChars="200"/>
        <w:jc w:val="both"/>
        <w:outlineLvl w:val="2"/>
        <w:rPr>
          <w:rFonts w:hint="eastAsia" w:ascii="Times New Roman" w:hAnsi="Times New Roman" w:eastAsia="仿宋" w:cs="仿宋"/>
          <w:b w:val="0"/>
          <w:bCs w:val="0"/>
          <w:spacing w:val="-4"/>
          <w:sz w:val="32"/>
          <w:szCs w:val="32"/>
          <w:highlight w:val="none"/>
          <w:lang w:eastAsia="zh-CN"/>
        </w:rPr>
      </w:pPr>
      <w:r>
        <w:rPr>
          <w:rFonts w:hint="default" w:ascii="Times New Roman" w:hAnsi="Times New Roman" w:eastAsia="仿宋" w:cs="宋体"/>
          <w:spacing w:val="-6"/>
          <w:sz w:val="32"/>
          <w:szCs w:val="32"/>
          <w:highlight w:val="none"/>
          <w:lang w:val="en-US" w:eastAsia="zh-CN"/>
        </w:rPr>
        <w:t>综上，通过对《</w:t>
      </w:r>
      <w:r>
        <w:rPr>
          <w:rFonts w:hint="eastAsia"/>
          <w:highlight w:val="none"/>
          <w:lang w:eastAsia="zh-CN"/>
        </w:rPr>
        <w:t>媒介生物综合管理技术规范 蚊虫防制</w:t>
      </w:r>
      <w:r>
        <w:rPr>
          <w:rFonts w:hint="default" w:ascii="Times New Roman" w:hAnsi="Times New Roman" w:eastAsia="仿宋" w:cs="宋体"/>
          <w:spacing w:val="-6"/>
          <w:sz w:val="32"/>
          <w:szCs w:val="32"/>
          <w:highlight w:val="none"/>
          <w:lang w:val="en-US" w:eastAsia="zh-CN"/>
        </w:rPr>
        <w:t>》地方标准验证得到以下研究结论：</w:t>
      </w:r>
      <w:r>
        <w:rPr>
          <w:rFonts w:hint="eastAsia" w:ascii="Times New Roman" w:hAnsi="Times New Roman" w:eastAsia="仿宋" w:cs="仿宋"/>
          <w:b w:val="0"/>
          <w:bCs w:val="0"/>
          <w:spacing w:val="-4"/>
          <w:sz w:val="32"/>
          <w:szCs w:val="32"/>
          <w:highlight w:val="none"/>
          <w:lang w:eastAsia="zh-CN"/>
        </w:rPr>
        <w:t>本标准明确了科学规范的</w:t>
      </w:r>
      <w:r>
        <w:rPr>
          <w:rFonts w:hint="eastAsia" w:eastAsia="仿宋" w:cs="宋体"/>
          <w:spacing w:val="-6"/>
          <w:sz w:val="32"/>
          <w:szCs w:val="32"/>
          <w:highlight w:val="none"/>
          <w:lang w:val="en-US" w:eastAsia="zh-CN"/>
        </w:rPr>
        <w:t>蚊虫</w:t>
      </w:r>
      <w:r>
        <w:rPr>
          <w:rFonts w:hint="eastAsia" w:ascii="Times New Roman" w:hAnsi="Times New Roman" w:eastAsia="仿宋" w:cs="宋体"/>
          <w:spacing w:val="-6"/>
          <w:sz w:val="32"/>
          <w:szCs w:val="32"/>
          <w:highlight w:val="none"/>
          <w:lang w:val="en-US" w:eastAsia="zh-CN"/>
        </w:rPr>
        <w:t>防制</w:t>
      </w:r>
      <w:r>
        <w:rPr>
          <w:rFonts w:hint="eastAsia" w:ascii="Times New Roman" w:hAnsi="Times New Roman" w:eastAsia="仿宋" w:cs="仿宋"/>
          <w:b w:val="0"/>
          <w:bCs w:val="0"/>
          <w:spacing w:val="-4"/>
          <w:sz w:val="32"/>
          <w:szCs w:val="32"/>
          <w:highlight w:val="none"/>
          <w:lang w:eastAsia="zh-CN"/>
        </w:rPr>
        <w:t>技术方法与操作要求，能够有效助力公众健康保障</w:t>
      </w:r>
      <w:r>
        <w:rPr>
          <w:rFonts w:hint="eastAsia" w:eastAsia="仿宋" w:cs="仿宋"/>
          <w:b w:val="0"/>
          <w:bCs w:val="0"/>
          <w:spacing w:val="-4"/>
          <w:sz w:val="32"/>
          <w:szCs w:val="32"/>
          <w:highlight w:val="none"/>
          <w:lang w:eastAsia="zh-CN"/>
        </w:rPr>
        <w:t>及</w:t>
      </w:r>
      <w:r>
        <w:rPr>
          <w:rFonts w:hint="eastAsia" w:ascii="Times New Roman" w:hAnsi="Times New Roman" w:eastAsia="仿宋" w:cs="仿宋"/>
          <w:b w:val="0"/>
          <w:bCs w:val="0"/>
          <w:spacing w:val="-4"/>
          <w:sz w:val="32"/>
          <w:szCs w:val="32"/>
          <w:highlight w:val="none"/>
          <w:lang w:eastAsia="zh-CN"/>
        </w:rPr>
        <w:t>环境卫生水平提升。经多场景实地测试验证，标准核心技术要求、操作流程及效果指标均符合实际应用需求，具备正式发布与推广实施的条件。</w:t>
      </w:r>
    </w:p>
    <w:p w14:paraId="256102A9">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28" w:firstLineChars="200"/>
        <w:jc w:val="both"/>
        <w:textAlignment w:val="baseline"/>
        <w:outlineLvl w:val="1"/>
        <w:rPr>
          <w:sz w:val="32"/>
          <w:szCs w:val="32"/>
          <w:highlight w:val="none"/>
        </w:rPr>
      </w:pPr>
      <w:bookmarkStart w:id="10" w:name="_Toc115000233"/>
      <w:r>
        <w:rPr>
          <w:rFonts w:hint="eastAsia" w:ascii="楷体" w:hAnsi="楷体" w:eastAsia="楷体" w:cs="楷体"/>
          <w:b w:val="0"/>
          <w:bCs w:val="0"/>
          <w:spacing w:val="-3"/>
          <w:sz w:val="32"/>
          <w:szCs w:val="32"/>
          <w:highlight w:val="none"/>
        </w:rPr>
        <w:t>（</w:t>
      </w:r>
      <w:r>
        <w:rPr>
          <w:rFonts w:hint="eastAsia" w:ascii="楷体" w:hAnsi="楷体" w:eastAsia="楷体" w:cs="楷体"/>
          <w:b w:val="0"/>
          <w:bCs w:val="0"/>
          <w:spacing w:val="-3"/>
          <w:sz w:val="32"/>
          <w:szCs w:val="32"/>
          <w:highlight w:val="none"/>
          <w:lang w:eastAsia="zh-CN"/>
        </w:rPr>
        <w:t>二</w:t>
      </w:r>
      <w:r>
        <w:rPr>
          <w:rFonts w:hint="eastAsia" w:ascii="楷体" w:hAnsi="楷体" w:eastAsia="楷体" w:cs="楷体"/>
          <w:b w:val="0"/>
          <w:bCs w:val="0"/>
          <w:spacing w:val="-3"/>
          <w:sz w:val="32"/>
          <w:szCs w:val="32"/>
          <w:highlight w:val="none"/>
        </w:rPr>
        <w:t>）社会效益</w:t>
      </w:r>
      <w:bookmarkEnd w:id="10"/>
    </w:p>
    <w:p w14:paraId="5027FD3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rFonts w:hint="eastAsia" w:ascii="Times New Roman" w:hAnsi="Times New Roman" w:eastAsia="仿宋" w:cs="仿宋"/>
          <w:b w:val="0"/>
          <w:bCs w:val="0"/>
          <w:spacing w:val="-4"/>
          <w:sz w:val="32"/>
          <w:szCs w:val="32"/>
          <w:highlight w:val="none"/>
        </w:rPr>
      </w:pPr>
      <w:r>
        <w:rPr>
          <w:rFonts w:hint="eastAsia" w:ascii="Times New Roman" w:hAnsi="Times New Roman" w:eastAsia="仿宋" w:cs="仿宋"/>
          <w:b w:val="0"/>
          <w:bCs w:val="0"/>
          <w:spacing w:val="-4"/>
          <w:sz w:val="32"/>
          <w:szCs w:val="32"/>
          <w:highlight w:val="none"/>
        </w:rPr>
        <w:t>1.提供科学的防制方法：该规范可以为</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防制提供科学、系统的方法和技术，指导相关人员采取有效的措施来控制</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的孳生。</w:t>
      </w:r>
    </w:p>
    <w:p w14:paraId="4589B1CB">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rFonts w:hint="eastAsia" w:ascii="Times New Roman" w:hAnsi="Times New Roman" w:eastAsia="仿宋" w:cs="仿宋"/>
          <w:b w:val="0"/>
          <w:bCs w:val="0"/>
          <w:spacing w:val="-4"/>
          <w:sz w:val="32"/>
          <w:szCs w:val="32"/>
          <w:highlight w:val="none"/>
        </w:rPr>
      </w:pPr>
      <w:r>
        <w:rPr>
          <w:rFonts w:hint="eastAsia" w:ascii="Times New Roman" w:hAnsi="Times New Roman" w:eastAsia="仿宋" w:cs="仿宋"/>
          <w:b w:val="0"/>
          <w:bCs w:val="0"/>
          <w:spacing w:val="-4"/>
          <w:sz w:val="32"/>
          <w:szCs w:val="32"/>
          <w:highlight w:val="none"/>
        </w:rPr>
        <w:t>2.保障公众健康：</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可</w:t>
      </w:r>
      <w:r>
        <w:rPr>
          <w:rFonts w:hint="eastAsia" w:ascii="Times New Roman" w:hAnsi="Times New Roman" w:eastAsia="仿宋" w:cs="仿宋"/>
          <w:b w:val="0"/>
          <w:bCs w:val="0"/>
          <w:spacing w:val="-4"/>
          <w:sz w:val="32"/>
          <w:szCs w:val="32"/>
          <w:highlight w:val="none"/>
          <w:lang w:eastAsia="zh-CN"/>
        </w:rPr>
        <w:t>传播多种疾病</w:t>
      </w:r>
      <w:r>
        <w:rPr>
          <w:rFonts w:hint="eastAsia" w:ascii="Times New Roman" w:hAnsi="Times New Roman" w:eastAsia="仿宋" w:cs="仿宋"/>
          <w:b w:val="0"/>
          <w:bCs w:val="0"/>
          <w:spacing w:val="-4"/>
          <w:sz w:val="32"/>
          <w:szCs w:val="32"/>
          <w:highlight w:val="none"/>
        </w:rPr>
        <w:t>，给人们的健康带来威胁。通过实施该规范，可以降低</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对公众健康的危害，减少疾病传播的风险。</w:t>
      </w:r>
    </w:p>
    <w:p w14:paraId="62DD3C29">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rFonts w:hint="eastAsia" w:ascii="Times New Roman" w:hAnsi="Times New Roman" w:eastAsia="仿宋" w:cs="仿宋"/>
          <w:b w:val="0"/>
          <w:bCs w:val="0"/>
          <w:spacing w:val="-4"/>
          <w:sz w:val="32"/>
          <w:szCs w:val="32"/>
          <w:highlight w:val="none"/>
        </w:rPr>
      </w:pPr>
      <w:r>
        <w:rPr>
          <w:rFonts w:hint="eastAsia" w:ascii="Times New Roman" w:hAnsi="Times New Roman" w:eastAsia="仿宋" w:cs="仿宋"/>
          <w:b w:val="0"/>
          <w:bCs w:val="0"/>
          <w:spacing w:val="-4"/>
          <w:sz w:val="32"/>
          <w:szCs w:val="32"/>
          <w:highlight w:val="none"/>
        </w:rPr>
        <w:t>3.提高环境卫生水平：</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的存在与环境卫生状况密切相关。该规范的实施可以促进人们加强环境清洁，提高环境卫生水平，减少</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孳生的机会。</w:t>
      </w:r>
    </w:p>
    <w:p w14:paraId="7155321A">
      <w:pPr>
        <w:keepNext w:val="0"/>
        <w:keepLines w:val="0"/>
        <w:pageBreakBefore w:val="0"/>
        <w:wordWrap/>
        <w:overflowPunct/>
        <w:topLinePunct w:val="0"/>
        <w:bidi w:val="0"/>
        <w:spacing w:line="600" w:lineRule="exact"/>
        <w:ind w:firstLine="624" w:firstLineChars="200"/>
        <w:jc w:val="both"/>
        <w:outlineLvl w:val="1"/>
        <w:rPr>
          <w:rFonts w:hint="eastAsia" w:ascii="Times New Roman" w:hAnsi="Times New Roman" w:eastAsia="仿宋" w:cs="仿宋"/>
          <w:b w:val="0"/>
          <w:bCs w:val="0"/>
          <w:spacing w:val="-4"/>
          <w:sz w:val="32"/>
          <w:szCs w:val="32"/>
          <w:highlight w:val="none"/>
        </w:rPr>
      </w:pPr>
      <w:r>
        <w:rPr>
          <w:rFonts w:hint="eastAsia" w:ascii="Times New Roman" w:hAnsi="Times New Roman" w:eastAsia="仿宋" w:cs="仿宋"/>
          <w:b w:val="0"/>
          <w:bCs w:val="0"/>
          <w:spacing w:val="-4"/>
          <w:sz w:val="32"/>
          <w:szCs w:val="32"/>
          <w:highlight w:val="none"/>
          <w:lang w:val="en-US" w:eastAsia="zh-CN"/>
        </w:rPr>
        <w:t>4</w:t>
      </w:r>
      <w:r>
        <w:rPr>
          <w:rFonts w:hint="eastAsia" w:ascii="Times New Roman" w:hAnsi="Times New Roman" w:eastAsia="仿宋" w:cs="仿宋"/>
          <w:b w:val="0"/>
          <w:bCs w:val="0"/>
          <w:spacing w:val="-4"/>
          <w:sz w:val="32"/>
          <w:szCs w:val="32"/>
          <w:highlight w:val="none"/>
        </w:rPr>
        <w:t>.增强社会意识：通过推广和实施该规范，可以增强公众对</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问题的认识和重视，提高公众的防</w:t>
      </w:r>
      <w:r>
        <w:rPr>
          <w:rFonts w:hint="eastAsia" w:ascii="Times New Roman" w:hAnsi="Times New Roman" w:eastAsia="仿宋" w:cs="仿宋"/>
          <w:b w:val="0"/>
          <w:bCs w:val="0"/>
          <w:spacing w:val="-4"/>
          <w:sz w:val="32"/>
          <w:szCs w:val="32"/>
          <w:highlight w:val="none"/>
          <w:lang w:eastAsia="zh-CN"/>
        </w:rPr>
        <w:t>蚊</w:t>
      </w:r>
      <w:r>
        <w:rPr>
          <w:rFonts w:hint="eastAsia" w:ascii="Times New Roman" w:hAnsi="Times New Roman" w:eastAsia="仿宋" w:cs="仿宋"/>
          <w:b w:val="0"/>
          <w:bCs w:val="0"/>
          <w:spacing w:val="-4"/>
          <w:sz w:val="32"/>
          <w:szCs w:val="32"/>
          <w:highlight w:val="none"/>
        </w:rPr>
        <w:t>意识，促进社会参与</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rPr>
        <w:t>防制工作。</w:t>
      </w:r>
    </w:p>
    <w:p w14:paraId="38845814">
      <w:pPr>
        <w:keepNext w:val="0"/>
        <w:keepLines w:val="0"/>
        <w:pageBreakBefore w:val="0"/>
        <w:wordWrap/>
        <w:overflowPunct/>
        <w:topLinePunct w:val="0"/>
        <w:bidi w:val="0"/>
        <w:spacing w:line="600" w:lineRule="exact"/>
        <w:ind w:firstLine="588" w:firstLineChars="200"/>
        <w:jc w:val="both"/>
        <w:outlineLvl w:val="1"/>
        <w:rPr>
          <w:rFonts w:hint="eastAsia" w:ascii="楷体" w:hAnsi="楷体" w:eastAsia="楷体" w:cs="楷体"/>
          <w:spacing w:val="-3"/>
          <w:sz w:val="32"/>
          <w:szCs w:val="32"/>
          <w:highlight w:val="none"/>
          <w:lang w:eastAsia="zh-CN"/>
        </w:rPr>
      </w:pPr>
      <w:r>
        <w:rPr>
          <w:rFonts w:hint="eastAsia" w:ascii="楷体" w:hAnsi="楷体" w:eastAsia="楷体" w:cs="楷体"/>
          <w:spacing w:val="-13"/>
          <w:sz w:val="32"/>
          <w:szCs w:val="32"/>
          <w:highlight w:val="none"/>
          <w:lang w:eastAsia="zh-CN"/>
        </w:rPr>
        <w:t>（三）经济</w:t>
      </w:r>
      <w:r>
        <w:rPr>
          <w:rFonts w:hint="eastAsia" w:ascii="楷体" w:hAnsi="楷体" w:eastAsia="楷体" w:cs="楷体"/>
          <w:spacing w:val="-3"/>
          <w:sz w:val="32"/>
          <w:szCs w:val="32"/>
          <w:highlight w:val="none"/>
          <w:lang w:eastAsia="zh-CN"/>
        </w:rPr>
        <w:t>效益</w:t>
      </w:r>
    </w:p>
    <w:p w14:paraId="1D7204CC">
      <w:pPr>
        <w:pStyle w:val="2"/>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仿宋"/>
          <w:spacing w:val="-4"/>
          <w:sz w:val="32"/>
          <w:szCs w:val="32"/>
          <w:highlight w:val="none"/>
          <w:lang w:val="en-US" w:eastAsia="zh-CN"/>
        </w:rPr>
      </w:pPr>
      <w:r>
        <w:rPr>
          <w:rFonts w:hint="eastAsia" w:ascii="Times New Roman" w:hAnsi="Times New Roman" w:eastAsia="仿宋" w:cs="仿宋"/>
          <w:spacing w:val="-4"/>
          <w:sz w:val="32"/>
          <w:szCs w:val="32"/>
          <w:highlight w:val="none"/>
          <w:lang w:val="en-US" w:eastAsia="zh-CN"/>
        </w:rPr>
        <w:t>1.节约综合防控成本：当前</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spacing w:val="-4"/>
          <w:sz w:val="32"/>
          <w:szCs w:val="32"/>
          <w:highlight w:val="none"/>
          <w:lang w:val="en-US" w:eastAsia="zh-CN"/>
        </w:rPr>
        <w:t>防制存在操作不规范、资源浪费等问题，增加防控成本。该标准统一技术要求，实现精准防控，减少无效投入和高成本药剂使用，显著节约人力、药剂等综合防控成本。</w:t>
      </w:r>
    </w:p>
    <w:p w14:paraId="32DC5179">
      <w:pPr>
        <w:pStyle w:val="2"/>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宋体"/>
          <w:snapToGrid w:val="0"/>
          <w:color w:val="000000"/>
          <w:spacing w:val="-6"/>
          <w:kern w:val="0"/>
          <w:sz w:val="32"/>
          <w:szCs w:val="32"/>
          <w:highlight w:val="none"/>
          <w:lang w:val="en-US" w:eastAsia="zh-CN"/>
        </w:rPr>
      </w:pPr>
      <w:r>
        <w:rPr>
          <w:rFonts w:hint="eastAsia" w:ascii="Times New Roman" w:hAnsi="Times New Roman" w:eastAsia="仿宋" w:cs="仿宋"/>
          <w:spacing w:val="-4"/>
          <w:sz w:val="32"/>
          <w:szCs w:val="32"/>
          <w:highlight w:val="none"/>
          <w:lang w:val="en-US" w:eastAsia="zh-CN"/>
        </w:rPr>
        <w:t>2.推动相关行业规范化发展：标准推动</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spacing w:val="-4"/>
          <w:sz w:val="32"/>
          <w:szCs w:val="32"/>
          <w:highlight w:val="none"/>
          <w:lang w:val="en-US" w:eastAsia="zh-CN"/>
        </w:rPr>
        <w:t>防制行业规范化发展，带动相关产业升级、创造就业，培育经济增长点。同时为重点行业提供防控指引，帮助企业规避监管风险，提升竞争力，稳定行业经济产出。</w:t>
      </w:r>
    </w:p>
    <w:p w14:paraId="58C39DEF">
      <w:pPr>
        <w:keepNext w:val="0"/>
        <w:keepLines w:val="0"/>
        <w:pageBreakBefore w:val="0"/>
        <w:wordWrap/>
        <w:overflowPunct/>
        <w:topLinePunct w:val="0"/>
        <w:bidi w:val="0"/>
        <w:spacing w:line="600" w:lineRule="exact"/>
        <w:ind w:firstLine="588" w:firstLineChars="200"/>
        <w:jc w:val="both"/>
        <w:outlineLvl w:val="1"/>
        <w:rPr>
          <w:sz w:val="32"/>
          <w:szCs w:val="32"/>
          <w:highlight w:val="none"/>
          <w:lang w:eastAsia="zh-CN"/>
        </w:rPr>
      </w:pPr>
      <w:r>
        <w:rPr>
          <w:rFonts w:hint="eastAsia" w:ascii="楷体" w:hAnsi="楷体" w:eastAsia="楷体" w:cs="楷体"/>
          <w:spacing w:val="-13"/>
          <w:sz w:val="32"/>
          <w:szCs w:val="32"/>
          <w:highlight w:val="none"/>
          <w:lang w:eastAsia="zh-CN"/>
        </w:rPr>
        <w:t>（四）生态</w:t>
      </w:r>
      <w:r>
        <w:rPr>
          <w:rFonts w:hint="eastAsia" w:ascii="楷体" w:hAnsi="楷体" w:eastAsia="楷体" w:cs="楷体"/>
          <w:spacing w:val="-3"/>
          <w:sz w:val="32"/>
          <w:szCs w:val="32"/>
          <w:highlight w:val="none"/>
          <w:lang w:eastAsia="zh-CN"/>
        </w:rPr>
        <w:t>效益</w:t>
      </w:r>
    </w:p>
    <w:p w14:paraId="7FF1DF21">
      <w:pPr>
        <w:pStyle w:val="2"/>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仿宋"/>
          <w:b w:val="0"/>
          <w:bCs w:val="0"/>
          <w:spacing w:val="-4"/>
          <w:sz w:val="32"/>
          <w:szCs w:val="32"/>
          <w:highlight w:val="none"/>
          <w:lang w:val="en-US" w:eastAsia="zh-CN"/>
        </w:rPr>
      </w:pPr>
      <w:r>
        <w:rPr>
          <w:rFonts w:hint="eastAsia" w:ascii="Times New Roman" w:hAnsi="Times New Roman" w:eastAsia="仿宋" w:cs="仿宋"/>
          <w:b w:val="0"/>
          <w:bCs w:val="0"/>
          <w:spacing w:val="-4"/>
          <w:sz w:val="32"/>
          <w:szCs w:val="32"/>
          <w:highlight w:val="none"/>
          <w:lang w:val="en-US" w:eastAsia="zh-CN"/>
        </w:rPr>
        <w:t>1.减少药剂污染：规范</w:t>
      </w:r>
      <w:r>
        <w:rPr>
          <w:rFonts w:hint="eastAsia" w:ascii="Times New Roman" w:hAnsi="Times New Roman" w:eastAsia="仿宋" w:cs="仿宋"/>
          <w:b w:val="0"/>
          <w:bCs w:val="0"/>
          <w:spacing w:val="-4"/>
          <w:sz w:val="32"/>
          <w:szCs w:val="32"/>
          <w:highlight w:val="none"/>
          <w:lang w:eastAsia="zh-CN"/>
        </w:rPr>
        <w:t>蚊虫</w:t>
      </w:r>
      <w:r>
        <w:rPr>
          <w:rFonts w:hint="eastAsia" w:ascii="Times New Roman" w:hAnsi="Times New Roman" w:eastAsia="仿宋" w:cs="仿宋"/>
          <w:b w:val="0"/>
          <w:bCs w:val="0"/>
          <w:spacing w:val="-4"/>
          <w:sz w:val="32"/>
          <w:szCs w:val="32"/>
          <w:highlight w:val="none"/>
          <w:lang w:val="en-US" w:eastAsia="zh-CN"/>
        </w:rPr>
        <w:t>防制药剂选用，优先采用低毒、环保药剂，杜绝高残留、高污染药剂滥用，降低药剂对土壤、水体、空气的污染，减少对生态环境的破坏。</w:t>
      </w:r>
    </w:p>
    <w:p w14:paraId="765E5676">
      <w:pPr>
        <w:pStyle w:val="2"/>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仿宋"/>
          <w:b w:val="0"/>
          <w:bCs w:val="0"/>
          <w:spacing w:val="-4"/>
          <w:sz w:val="32"/>
          <w:szCs w:val="32"/>
          <w:highlight w:val="none"/>
          <w:lang w:val="en-US" w:eastAsia="zh-CN"/>
        </w:rPr>
      </w:pPr>
      <w:r>
        <w:rPr>
          <w:rFonts w:hint="eastAsia" w:ascii="Times New Roman" w:hAnsi="Times New Roman" w:eastAsia="仿宋" w:cs="仿宋"/>
          <w:b w:val="0"/>
          <w:bCs w:val="0"/>
          <w:spacing w:val="-4"/>
          <w:sz w:val="32"/>
          <w:szCs w:val="32"/>
          <w:highlight w:val="none"/>
          <w:lang w:val="en-US" w:eastAsia="zh-CN"/>
        </w:rPr>
        <w:t>2.稳定生态平衡：强调科学防控，避免盲目消杀，以环境治理为主，减少对非靶标生物的伤害，维护区域生物多样性，助力生态系统稳定。</w:t>
      </w:r>
    </w:p>
    <w:p w14:paraId="07C02EC5">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24" w:firstLineChars="200"/>
        <w:jc w:val="both"/>
        <w:textAlignment w:val="baseline"/>
        <w:outlineLvl w:val="1"/>
        <w:rPr>
          <w:rFonts w:hint="eastAsia" w:ascii="Times New Roman" w:hAnsi="Times New Roman" w:eastAsia="仿宋" w:cs="仿宋"/>
          <w:b w:val="0"/>
          <w:bCs w:val="0"/>
          <w:spacing w:val="-4"/>
          <w:sz w:val="32"/>
          <w:szCs w:val="32"/>
          <w:highlight w:val="none"/>
          <w:lang w:val="en-US" w:eastAsia="zh-CN"/>
        </w:rPr>
      </w:pPr>
      <w:r>
        <w:rPr>
          <w:rFonts w:hint="eastAsia" w:ascii="Times New Roman" w:hAnsi="Times New Roman" w:eastAsia="仿宋" w:cs="仿宋"/>
          <w:b w:val="0"/>
          <w:bCs w:val="0"/>
          <w:spacing w:val="-4"/>
          <w:sz w:val="32"/>
          <w:szCs w:val="32"/>
          <w:highlight w:val="none"/>
          <w:lang w:val="en-US" w:eastAsia="zh-CN"/>
        </w:rPr>
        <w:t>3.助力生态可持续：倡导“环境治理为主，物理防制和生物防制优先、化学防制为辅”，引导采用物理、生物等绿色防控手段，减少化学药剂依赖，推动生态环境可持续发展。</w:t>
      </w:r>
    </w:p>
    <w:p w14:paraId="162B540F">
      <w:pPr>
        <w:keepNext w:val="0"/>
        <w:keepLines w:val="0"/>
        <w:pageBreakBefore w:val="0"/>
        <w:widowControl/>
        <w:kinsoku w:val="0"/>
        <w:wordWrap/>
        <w:overflowPunct/>
        <w:topLinePunct w:val="0"/>
        <w:autoSpaceDE w:val="0"/>
        <w:autoSpaceDN w:val="0"/>
        <w:bidi w:val="0"/>
        <w:adjustRightInd w:val="0"/>
        <w:snapToGrid w:val="0"/>
        <w:spacing w:line="600" w:lineRule="exact"/>
        <w:ind w:right="0" w:firstLine="660" w:firstLineChars="200"/>
        <w:jc w:val="both"/>
        <w:textAlignment w:val="baseline"/>
        <w:outlineLvl w:val="0"/>
        <w:rPr>
          <w:rFonts w:hint="eastAsia" w:ascii="黑体" w:hAnsi="黑体" w:eastAsia="黑体" w:cs="黑体"/>
          <w:b w:val="0"/>
          <w:bCs w:val="0"/>
          <w:snapToGrid w:val="0"/>
          <w:color w:val="000000"/>
          <w:spacing w:val="5"/>
          <w:kern w:val="0"/>
          <w:sz w:val="32"/>
          <w:szCs w:val="32"/>
          <w:highlight w:val="none"/>
          <w:lang w:eastAsia="en-US"/>
        </w:rPr>
      </w:pPr>
      <w:r>
        <w:rPr>
          <w:rFonts w:hint="eastAsia" w:ascii="黑体" w:hAnsi="黑体" w:eastAsia="黑体" w:cs="黑体"/>
          <w:b w:val="0"/>
          <w:bCs w:val="0"/>
          <w:snapToGrid w:val="0"/>
          <w:color w:val="000000"/>
          <w:spacing w:val="5"/>
          <w:kern w:val="0"/>
          <w:sz w:val="32"/>
          <w:szCs w:val="32"/>
          <w:highlight w:val="none"/>
          <w:lang w:eastAsia="en-US"/>
        </w:rPr>
        <w:t>四、与现行有关法律、法规和国家标准、行业标准、地方标准的关系</w:t>
      </w:r>
    </w:p>
    <w:p w14:paraId="66A8C2A2">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sz w:val="32"/>
          <w:szCs w:val="32"/>
          <w:highlight w:val="none"/>
        </w:rPr>
      </w:pPr>
      <w:r>
        <w:rPr>
          <w:rFonts w:hint="eastAsia" w:ascii="Times New Roman" w:hAnsi="Times New Roman" w:eastAsia="仿宋" w:cs="仿宋"/>
          <w:b w:val="0"/>
          <w:bCs w:val="0"/>
          <w:snapToGrid w:val="0"/>
          <w:color w:val="000000"/>
          <w:spacing w:val="-4"/>
          <w:kern w:val="0"/>
          <w:sz w:val="32"/>
          <w:szCs w:val="32"/>
          <w:highlight w:val="none"/>
          <w:lang w:val="en-US" w:eastAsia="en-US" w:bidi="ar-SA"/>
        </w:rPr>
        <w:t>本标准遵循“协调统一、规范适用”的编制原则，与国家现行发法律</w:t>
      </w:r>
      <w:r>
        <w:rPr>
          <w:rFonts w:hint="eastAsia" w:ascii="Times New Roman" w:hAnsi="Times New Roman" w:eastAsia="仿宋" w:cs="仿宋"/>
          <w:b w:val="0"/>
          <w:bCs w:val="0"/>
          <w:snapToGrid w:val="0"/>
          <w:color w:val="000000"/>
          <w:spacing w:val="-4"/>
          <w:kern w:val="0"/>
          <w:sz w:val="32"/>
          <w:szCs w:val="32"/>
          <w:highlight w:val="none"/>
          <w:lang w:val="en-US" w:eastAsia="zh-CN" w:bidi="ar-SA"/>
        </w:rPr>
        <w:t>、</w:t>
      </w:r>
      <w:r>
        <w:rPr>
          <w:rFonts w:hint="eastAsia" w:ascii="Times New Roman" w:hAnsi="Times New Roman" w:eastAsia="仿宋" w:cs="仿宋"/>
          <w:b w:val="0"/>
          <w:bCs w:val="0"/>
          <w:snapToGrid w:val="0"/>
          <w:color w:val="000000"/>
          <w:spacing w:val="-4"/>
          <w:kern w:val="0"/>
          <w:sz w:val="32"/>
          <w:szCs w:val="32"/>
          <w:highlight w:val="none"/>
          <w:lang w:val="en-US" w:eastAsia="en-US" w:bidi="ar-SA"/>
        </w:rPr>
        <w:t>法规和有关产业政策保持一致，严格按照GB/T 1.1—2020《标准化工作导则 第1部分：标准化文件的结构和起草规则》规定组织编写，参考了《病媒生物预防控制管理规定》、《中国疾病预防控制中心关于印发全国病媒生物监测实施方案的通知》、《辽宁省病媒生物监测方案》</w:t>
      </w:r>
      <w:r>
        <w:rPr>
          <w:rFonts w:hint="eastAsia" w:ascii="Times New Roman" w:hAnsi="Times New Roman" w:eastAsia="仿宋" w:cs="仿宋"/>
          <w:b w:val="0"/>
          <w:bCs w:val="0"/>
          <w:snapToGrid w:val="0"/>
          <w:color w:val="000000"/>
          <w:spacing w:val="-4"/>
          <w:kern w:val="0"/>
          <w:sz w:val="32"/>
          <w:szCs w:val="32"/>
          <w:highlight w:val="none"/>
          <w:lang w:val="en-US" w:eastAsia="zh-CN" w:bidi="ar-SA"/>
        </w:rPr>
        <w:t>等国家技术性指导文件，</w:t>
      </w:r>
      <w:r>
        <w:rPr>
          <w:rFonts w:hint="eastAsia" w:ascii="Times New Roman" w:hAnsi="Times New Roman" w:eastAsia="仿宋" w:cs="仿宋"/>
          <w:b w:val="0"/>
          <w:bCs w:val="0"/>
          <w:snapToGrid w:val="0"/>
          <w:color w:val="000000"/>
          <w:spacing w:val="-4"/>
          <w:kern w:val="0"/>
          <w:sz w:val="32"/>
          <w:szCs w:val="32"/>
          <w:highlight w:val="none"/>
          <w:lang w:val="en-US" w:eastAsia="en-US" w:bidi="ar-SA"/>
        </w:rPr>
        <w:t>本标准为辽宁省首次制定，与本行业现有的其他标准协调配套，没有冲突，技术要求不低于国家标准的相关技术要求。</w:t>
      </w:r>
    </w:p>
    <w:p w14:paraId="2EE926EA">
      <w:pPr>
        <w:keepNext w:val="0"/>
        <w:keepLines w:val="0"/>
        <w:pageBreakBefore w:val="0"/>
        <w:numPr>
          <w:ilvl w:val="0"/>
          <w:numId w:val="0"/>
        </w:numPr>
        <w:wordWrap/>
        <w:overflowPunct/>
        <w:topLinePunct w:val="0"/>
        <w:bidi w:val="0"/>
        <w:spacing w:line="600" w:lineRule="exact"/>
        <w:ind w:firstLine="640" w:firstLineChars="200"/>
        <w:jc w:val="both"/>
        <w:rPr>
          <w:rFonts w:hint="eastAsia" w:cs="仿宋_GB2312"/>
          <w:highlight w:val="none"/>
        </w:rPr>
      </w:pPr>
      <w:r>
        <w:rPr>
          <w:rFonts w:hint="eastAsia" w:ascii="黑体" w:hAnsi="黑体" w:eastAsia="黑体" w:cs="黑体"/>
          <w:highlight w:val="none"/>
          <w:lang w:val="en-US" w:eastAsia="zh-CN"/>
        </w:rPr>
        <w:t>五、</w:t>
      </w:r>
      <w:r>
        <w:rPr>
          <w:rFonts w:hint="eastAsia" w:ascii="黑体" w:hAnsi="黑体" w:eastAsia="黑体" w:cs="黑体"/>
          <w:highlight w:val="none"/>
        </w:rPr>
        <w:t>征求意见和分歧处理情况，应说明未采纳意见依据以及同意见提出人的沟通反馈情况</w:t>
      </w:r>
    </w:p>
    <w:p w14:paraId="5CFE6686">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rFonts w:hint="eastAsia" w:ascii="Times New Roman" w:hAnsi="Times New Roman" w:eastAsia="仿宋" w:cs="仿宋"/>
          <w:b w:val="0"/>
          <w:bCs w:val="0"/>
          <w:snapToGrid w:val="0"/>
          <w:color w:val="000000"/>
          <w:spacing w:val="-4"/>
          <w:kern w:val="0"/>
          <w:sz w:val="32"/>
          <w:szCs w:val="32"/>
          <w:highlight w:val="none"/>
          <w:lang w:val="en-US" w:eastAsia="zh-CN" w:bidi="ar-SA"/>
        </w:rPr>
      </w:pPr>
      <w:r>
        <w:rPr>
          <w:rFonts w:hint="eastAsia" w:ascii="Times New Roman" w:hAnsi="Times New Roman" w:eastAsia="仿宋" w:cs="仿宋"/>
          <w:b w:val="0"/>
          <w:bCs w:val="0"/>
          <w:snapToGrid w:val="0"/>
          <w:color w:val="000000"/>
          <w:spacing w:val="-4"/>
          <w:kern w:val="0"/>
          <w:sz w:val="32"/>
          <w:szCs w:val="32"/>
          <w:highlight w:val="none"/>
          <w:lang w:val="en-US" w:eastAsia="zh-CN" w:bidi="ar-SA"/>
        </w:rPr>
        <w:t>无。</w:t>
      </w:r>
    </w:p>
    <w:p w14:paraId="198DB546">
      <w:pPr>
        <w:keepNext w:val="0"/>
        <w:keepLines w:val="0"/>
        <w:pageBreakBefore w:val="0"/>
        <w:numPr>
          <w:ilvl w:val="0"/>
          <w:numId w:val="0"/>
        </w:numPr>
        <w:wordWrap/>
        <w:overflowPunct/>
        <w:topLinePunct w:val="0"/>
        <w:bidi w:val="0"/>
        <w:spacing w:line="600" w:lineRule="exact"/>
        <w:ind w:firstLine="640" w:firstLineChars="200"/>
        <w:jc w:val="both"/>
        <w:rPr>
          <w:rFonts w:hint="eastAsia" w:cs="仿宋_GB2312"/>
          <w:highlight w:val="none"/>
        </w:rPr>
      </w:pPr>
      <w:r>
        <w:rPr>
          <w:rFonts w:hint="eastAsia" w:ascii="黑体" w:hAnsi="黑体" w:eastAsia="黑体" w:cs="黑体"/>
          <w:highlight w:val="none"/>
          <w:lang w:val="en-US" w:eastAsia="zh-CN"/>
        </w:rPr>
        <w:t>六、</w:t>
      </w:r>
      <w:r>
        <w:rPr>
          <w:rFonts w:hint="eastAsia" w:ascii="黑体" w:hAnsi="黑体" w:eastAsia="黑体" w:cs="黑体"/>
          <w:highlight w:val="none"/>
        </w:rPr>
        <w:t>推动标准实施的措施建议</w:t>
      </w:r>
    </w:p>
    <w:p w14:paraId="0F7D5071">
      <w:pPr>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仿宋"/>
          <w:spacing w:val="-4"/>
          <w:sz w:val="32"/>
          <w:szCs w:val="32"/>
          <w:highlight w:val="none"/>
          <w:lang w:val="en-US" w:eastAsia="zh-CN"/>
        </w:rPr>
      </w:pPr>
      <w:r>
        <w:rPr>
          <w:rFonts w:hint="eastAsia" w:ascii="Times New Roman" w:hAnsi="Times New Roman" w:eastAsia="仿宋" w:cs="仿宋"/>
          <w:spacing w:val="-4"/>
          <w:sz w:val="32"/>
          <w:szCs w:val="32"/>
          <w:highlight w:val="none"/>
          <w:lang w:val="en-US" w:eastAsia="zh-CN"/>
        </w:rPr>
        <w:t>组织召开全省范围内标准宣贯培训会议（1年内完成），面向各级疾控中心、PCO公司、餐饮行业、居民区及行政监督等各相关单位，全面发放宣贯资料，重点解读标准</w:t>
      </w:r>
      <w:r>
        <w:rPr>
          <w:rFonts w:hint="eastAsia" w:eastAsia="仿宋" w:cs="仿宋"/>
          <w:spacing w:val="-4"/>
          <w:sz w:val="32"/>
          <w:szCs w:val="32"/>
          <w:highlight w:val="none"/>
          <w:lang w:val="en-US" w:eastAsia="zh-CN"/>
        </w:rPr>
        <w:t>蚊虫</w:t>
      </w:r>
      <w:r>
        <w:rPr>
          <w:rFonts w:hint="eastAsia" w:ascii="Times New Roman" w:hAnsi="Times New Roman" w:eastAsia="仿宋" w:cs="仿宋"/>
          <w:spacing w:val="-4"/>
          <w:sz w:val="32"/>
          <w:szCs w:val="32"/>
          <w:highlight w:val="none"/>
          <w:lang w:val="en-US" w:eastAsia="zh-CN"/>
        </w:rPr>
        <w:t>防制的基本要求、防制措施及实施要点，现场解答各单位可能遇到的难点和疑点，确保各相关单位从业人员熟练掌握标准内容，提升标准执行能力，扩大标准知晓度和覆盖面。</w:t>
      </w:r>
    </w:p>
    <w:p w14:paraId="72B26D21">
      <w:pPr>
        <w:keepNext w:val="0"/>
        <w:keepLines w:val="0"/>
        <w:pageBreakBefore w:val="0"/>
        <w:wordWrap/>
        <w:overflowPunct/>
        <w:topLinePunct w:val="0"/>
        <w:bidi w:val="0"/>
        <w:spacing w:line="600" w:lineRule="exact"/>
        <w:ind w:firstLine="624" w:firstLineChars="200"/>
        <w:jc w:val="both"/>
        <w:rPr>
          <w:rFonts w:hint="eastAsia" w:ascii="Times New Roman" w:hAnsi="Times New Roman" w:eastAsia="仿宋" w:cs="仿宋"/>
          <w:spacing w:val="-4"/>
          <w:sz w:val="32"/>
          <w:szCs w:val="32"/>
          <w:highlight w:val="none"/>
          <w:lang w:eastAsia="zh-CN"/>
        </w:rPr>
      </w:pPr>
      <w:r>
        <w:rPr>
          <w:rFonts w:hint="eastAsia" w:ascii="Times New Roman" w:hAnsi="Times New Roman" w:eastAsia="仿宋" w:cs="仿宋"/>
          <w:spacing w:val="-4"/>
          <w:sz w:val="32"/>
          <w:szCs w:val="32"/>
          <w:highlight w:val="none"/>
          <w:lang w:val="en-US" w:eastAsia="zh-CN"/>
        </w:rPr>
        <w:t>标准实施满3年，组织开展全面评价工作：一方面，</w:t>
      </w:r>
      <w:r>
        <w:rPr>
          <w:rFonts w:hint="eastAsia" w:ascii="Times New Roman" w:hAnsi="Times New Roman" w:eastAsia="仿宋" w:cs="仿宋"/>
          <w:spacing w:val="-4"/>
          <w:sz w:val="32"/>
          <w:szCs w:val="32"/>
          <w:highlight w:val="none"/>
          <w:lang w:eastAsia="zh-CN"/>
        </w:rPr>
        <w:t>开展实施效果评估</w:t>
      </w:r>
      <w:r>
        <w:rPr>
          <w:rFonts w:hint="eastAsia" w:ascii="Times New Roman" w:hAnsi="Times New Roman" w:eastAsia="仿宋" w:cs="仿宋"/>
          <w:spacing w:val="-4"/>
          <w:sz w:val="32"/>
          <w:szCs w:val="32"/>
          <w:highlight w:val="none"/>
          <w:lang w:val="en-US" w:eastAsia="zh-CN"/>
        </w:rPr>
        <w:t>，重点关注</w:t>
      </w:r>
      <w:r>
        <w:rPr>
          <w:rFonts w:hint="eastAsia" w:eastAsia="仿宋" w:cs="仿宋"/>
          <w:spacing w:val="-4"/>
          <w:sz w:val="32"/>
          <w:szCs w:val="32"/>
          <w:highlight w:val="none"/>
          <w:lang w:val="en-US" w:eastAsia="zh-CN"/>
        </w:rPr>
        <w:t>蚊虫</w:t>
      </w:r>
      <w:r>
        <w:rPr>
          <w:rFonts w:hint="eastAsia" w:ascii="Times New Roman" w:hAnsi="Times New Roman" w:eastAsia="仿宋" w:cs="仿宋"/>
          <w:spacing w:val="-4"/>
          <w:sz w:val="32"/>
          <w:szCs w:val="32"/>
          <w:highlight w:val="none"/>
          <w:lang w:val="en-US" w:eastAsia="zh-CN"/>
        </w:rPr>
        <w:t>防制成效、社会效益及生态效益的达成情况，梳理实施过程中存在的问题并优化；另一方面，开展标准应用率评价，统计各相关行业、各区域标准执行覆盖率，对应用不到位的单位进行督促整改，推动标准全面落地。</w:t>
      </w:r>
    </w:p>
    <w:p w14:paraId="1E10B670">
      <w:pPr>
        <w:keepNext w:val="0"/>
        <w:keepLines w:val="0"/>
        <w:pageBreakBefore w:val="0"/>
        <w:wordWrap/>
        <w:overflowPunct/>
        <w:topLinePunct w:val="0"/>
        <w:bidi w:val="0"/>
        <w:spacing w:line="600" w:lineRule="exact"/>
        <w:ind w:firstLine="624" w:firstLineChars="200"/>
        <w:jc w:val="both"/>
        <w:outlineLvl w:val="0"/>
        <w:rPr>
          <w:rFonts w:hint="eastAsia" w:ascii="Times New Roman" w:hAnsi="Times New Roman" w:eastAsia="仿宋" w:cs="仿宋"/>
          <w:b w:val="0"/>
          <w:bCs w:val="0"/>
          <w:snapToGrid w:val="0"/>
          <w:color w:val="000000"/>
          <w:spacing w:val="-4"/>
          <w:kern w:val="0"/>
          <w:sz w:val="32"/>
          <w:szCs w:val="32"/>
          <w:highlight w:val="none"/>
          <w:lang w:val="en-US" w:eastAsia="zh-CN" w:bidi="ar-SA"/>
        </w:rPr>
      </w:pPr>
      <w:r>
        <w:rPr>
          <w:rFonts w:hint="eastAsia" w:ascii="Times New Roman" w:hAnsi="Times New Roman" w:eastAsia="仿宋" w:cs="仿宋"/>
          <w:spacing w:val="-4"/>
          <w:sz w:val="32"/>
          <w:szCs w:val="32"/>
          <w:highlight w:val="none"/>
          <w:lang w:eastAsia="zh-CN"/>
        </w:rPr>
        <w:t>标准实施满5年，结合3年评价结果、行业发展现状、</w:t>
      </w:r>
      <w:r>
        <w:rPr>
          <w:rFonts w:hint="eastAsia" w:eastAsia="仿宋" w:cs="仿宋"/>
          <w:spacing w:val="-4"/>
          <w:sz w:val="32"/>
          <w:szCs w:val="32"/>
          <w:highlight w:val="none"/>
          <w:lang w:val="en-US" w:eastAsia="zh-CN"/>
        </w:rPr>
        <w:t>蚊虫</w:t>
      </w:r>
      <w:r>
        <w:rPr>
          <w:rFonts w:hint="eastAsia" w:ascii="Times New Roman" w:hAnsi="Times New Roman" w:eastAsia="仿宋" w:cs="仿宋"/>
          <w:spacing w:val="-4"/>
          <w:sz w:val="32"/>
          <w:szCs w:val="32"/>
          <w:highlight w:val="none"/>
          <w:lang w:eastAsia="zh-CN"/>
        </w:rPr>
        <w:t>防制技术更新及实际应用需求，组织开展标准复审工作；对标准中与实际脱节、需优化的条款进行修订完善，删除不合理内容、补充新技术新要求，确保标准的科学性、适用性和时效性，持续发挥标准在</w:t>
      </w:r>
      <w:r>
        <w:rPr>
          <w:rFonts w:hint="eastAsia" w:eastAsia="仿宋" w:cs="仿宋"/>
          <w:spacing w:val="-4"/>
          <w:sz w:val="32"/>
          <w:szCs w:val="32"/>
          <w:highlight w:val="none"/>
          <w:lang w:val="en-US" w:eastAsia="zh-CN"/>
        </w:rPr>
        <w:t>蚊虫</w:t>
      </w:r>
      <w:r>
        <w:rPr>
          <w:rFonts w:hint="eastAsia" w:ascii="Times New Roman" w:hAnsi="Times New Roman" w:eastAsia="仿宋" w:cs="仿宋"/>
          <w:spacing w:val="-4"/>
          <w:sz w:val="32"/>
          <w:szCs w:val="32"/>
          <w:highlight w:val="none"/>
          <w:lang w:eastAsia="zh-CN"/>
        </w:rPr>
        <w:t>防制工作中的指导作用。</w:t>
      </w:r>
    </w:p>
    <w:p w14:paraId="24FD550C">
      <w:pPr>
        <w:keepNext w:val="0"/>
        <w:keepLines w:val="0"/>
        <w:pageBreakBefore w:val="0"/>
        <w:wordWrap/>
        <w:overflowPunct/>
        <w:topLinePunct w:val="0"/>
        <w:bidi w:val="0"/>
        <w:spacing w:line="600" w:lineRule="exact"/>
        <w:ind w:firstLine="640" w:firstLineChars="200"/>
        <w:jc w:val="both"/>
        <w:rPr>
          <w:rFonts w:hint="eastAsia" w:cs="仿宋_GB2312"/>
          <w:strike w:val="0"/>
          <w:dstrike w:val="0"/>
          <w:highlight w:val="none"/>
        </w:rPr>
      </w:pPr>
      <w:r>
        <w:rPr>
          <w:rFonts w:hint="eastAsia" w:ascii="黑体" w:hAnsi="黑体" w:eastAsia="黑体" w:cs="黑体"/>
          <w:highlight w:val="none"/>
        </w:rPr>
        <w:t>七、拟作为强制性地方标准的须写明明确的法律法规依据</w:t>
      </w:r>
    </w:p>
    <w:p w14:paraId="2D644F90">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rFonts w:hint="eastAsia" w:ascii="Times New Roman" w:hAnsi="Times New Roman" w:eastAsia="仿宋" w:cs="仿宋"/>
          <w:b w:val="0"/>
          <w:bCs w:val="0"/>
          <w:snapToGrid w:val="0"/>
          <w:color w:val="000000"/>
          <w:spacing w:val="-4"/>
          <w:kern w:val="0"/>
          <w:sz w:val="32"/>
          <w:szCs w:val="32"/>
          <w:highlight w:val="none"/>
          <w:lang w:val="en-US" w:eastAsia="zh-CN" w:bidi="ar-SA"/>
        </w:rPr>
      </w:pPr>
      <w:r>
        <w:rPr>
          <w:rFonts w:hint="eastAsia" w:ascii="Times New Roman" w:hAnsi="Times New Roman" w:eastAsia="仿宋" w:cs="仿宋"/>
          <w:b w:val="0"/>
          <w:bCs w:val="0"/>
          <w:snapToGrid w:val="0"/>
          <w:color w:val="000000"/>
          <w:spacing w:val="-4"/>
          <w:kern w:val="0"/>
          <w:sz w:val="32"/>
          <w:szCs w:val="32"/>
          <w:highlight w:val="none"/>
          <w:lang w:val="en-US" w:eastAsia="zh-CN" w:bidi="ar-SA"/>
        </w:rPr>
        <w:t>无。</w:t>
      </w:r>
    </w:p>
    <w:p w14:paraId="5FF71AF4">
      <w:pPr>
        <w:keepNext w:val="0"/>
        <w:keepLines w:val="0"/>
        <w:pageBreakBefore w:val="0"/>
        <w:wordWrap/>
        <w:overflowPunct/>
        <w:topLinePunct w:val="0"/>
        <w:bidi w:val="0"/>
        <w:spacing w:line="600" w:lineRule="exact"/>
        <w:ind w:firstLine="640" w:firstLineChars="200"/>
        <w:jc w:val="both"/>
        <w:rPr>
          <w:rFonts w:hint="eastAsia" w:cs="仿宋_GB2312"/>
          <w:highlight w:val="none"/>
        </w:rPr>
      </w:pPr>
      <w:r>
        <w:rPr>
          <w:rFonts w:hint="eastAsia" w:ascii="黑体" w:hAnsi="黑体" w:eastAsia="黑体" w:cs="黑体"/>
          <w:highlight w:val="none"/>
        </w:rPr>
        <w:t>八、其他应说明的事项</w:t>
      </w:r>
      <w:r>
        <w:rPr>
          <w:rFonts w:hint="eastAsia" w:cs="仿宋_GB2312"/>
          <w:highlight w:val="none"/>
        </w:rPr>
        <w:t>。</w:t>
      </w:r>
    </w:p>
    <w:p w14:paraId="5E9F22A4">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24" w:firstLineChars="200"/>
        <w:jc w:val="both"/>
        <w:textAlignment w:val="baseline"/>
        <w:rPr>
          <w:highlight w:val="none"/>
        </w:rPr>
      </w:pPr>
      <w:r>
        <w:rPr>
          <w:rFonts w:hint="eastAsia" w:ascii="Times New Roman" w:hAnsi="Times New Roman" w:eastAsia="仿宋" w:cs="仿宋"/>
          <w:b w:val="0"/>
          <w:bCs w:val="0"/>
          <w:snapToGrid w:val="0"/>
          <w:color w:val="000000"/>
          <w:spacing w:val="-4"/>
          <w:kern w:val="0"/>
          <w:sz w:val="32"/>
          <w:szCs w:val="32"/>
          <w:highlight w:val="none"/>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GWZT-EN">
    <w:panose1 w:val="020204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7403F"/>
    <w:multiLevelType w:val="singleLevel"/>
    <w:tmpl w:val="9C57403F"/>
    <w:lvl w:ilvl="0" w:tentative="0">
      <w:start w:val="3"/>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8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FC6E595"/>
    <w:multiLevelType w:val="singleLevel"/>
    <w:tmpl w:val="7FC6E595"/>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71F"/>
    <w:rsid w:val="00177EFA"/>
    <w:rsid w:val="002B7A1C"/>
    <w:rsid w:val="0057566B"/>
    <w:rsid w:val="00595F5B"/>
    <w:rsid w:val="00A2071F"/>
    <w:rsid w:val="00C067DB"/>
    <w:rsid w:val="00C569EB"/>
    <w:rsid w:val="00C86D4F"/>
    <w:rsid w:val="01183702"/>
    <w:rsid w:val="0C7777B2"/>
    <w:rsid w:val="18BD18D0"/>
    <w:rsid w:val="1DF12AEA"/>
    <w:rsid w:val="1EF76A20"/>
    <w:rsid w:val="1FFECBE6"/>
    <w:rsid w:val="1FFF6D1B"/>
    <w:rsid w:val="23FF2114"/>
    <w:rsid w:val="28B72B67"/>
    <w:rsid w:val="2DEFC6E8"/>
    <w:rsid w:val="2DFE6CE6"/>
    <w:rsid w:val="2E9FBBB5"/>
    <w:rsid w:val="2EF7D43D"/>
    <w:rsid w:val="35F46496"/>
    <w:rsid w:val="35FF0381"/>
    <w:rsid w:val="366B6304"/>
    <w:rsid w:val="3771234C"/>
    <w:rsid w:val="377E9C66"/>
    <w:rsid w:val="38F7BD54"/>
    <w:rsid w:val="3ACF89FA"/>
    <w:rsid w:val="3BF58838"/>
    <w:rsid w:val="3BFE0131"/>
    <w:rsid w:val="3CE7012E"/>
    <w:rsid w:val="3CFF6988"/>
    <w:rsid w:val="3EFECA11"/>
    <w:rsid w:val="3F1379D3"/>
    <w:rsid w:val="3F1C50E9"/>
    <w:rsid w:val="3FBE9525"/>
    <w:rsid w:val="3FEB4A1B"/>
    <w:rsid w:val="415E1BCB"/>
    <w:rsid w:val="437B6846"/>
    <w:rsid w:val="4ACF164E"/>
    <w:rsid w:val="4DFD462A"/>
    <w:rsid w:val="4DFFFBB1"/>
    <w:rsid w:val="4EED2E46"/>
    <w:rsid w:val="4F1FF773"/>
    <w:rsid w:val="4FA6EA2D"/>
    <w:rsid w:val="50FFB93D"/>
    <w:rsid w:val="51E7AF2E"/>
    <w:rsid w:val="527D9BA0"/>
    <w:rsid w:val="53222736"/>
    <w:rsid w:val="552BE25C"/>
    <w:rsid w:val="565A7E3B"/>
    <w:rsid w:val="575F60A0"/>
    <w:rsid w:val="576B3082"/>
    <w:rsid w:val="57DFC7E3"/>
    <w:rsid w:val="5ABEAAB5"/>
    <w:rsid w:val="5EF9B606"/>
    <w:rsid w:val="5F8DB93A"/>
    <w:rsid w:val="5FFCE4C6"/>
    <w:rsid w:val="5FFFBC6A"/>
    <w:rsid w:val="5FFFD05E"/>
    <w:rsid w:val="67DE0DD0"/>
    <w:rsid w:val="67FE325F"/>
    <w:rsid w:val="6B4FB9E1"/>
    <w:rsid w:val="6BFCCCBB"/>
    <w:rsid w:val="6D9FBBD2"/>
    <w:rsid w:val="6E69EA2D"/>
    <w:rsid w:val="6F7EA042"/>
    <w:rsid w:val="716FF282"/>
    <w:rsid w:val="719EABC8"/>
    <w:rsid w:val="739F2745"/>
    <w:rsid w:val="73FACFCA"/>
    <w:rsid w:val="74F02341"/>
    <w:rsid w:val="75ADDD94"/>
    <w:rsid w:val="75FDA41B"/>
    <w:rsid w:val="777662F2"/>
    <w:rsid w:val="77DF2B14"/>
    <w:rsid w:val="77F9BF1F"/>
    <w:rsid w:val="77FDA79A"/>
    <w:rsid w:val="77FF9737"/>
    <w:rsid w:val="7953EA75"/>
    <w:rsid w:val="7AF470C1"/>
    <w:rsid w:val="7AFF4645"/>
    <w:rsid w:val="7BB5B3AA"/>
    <w:rsid w:val="7BCF9CD9"/>
    <w:rsid w:val="7BFBB3BA"/>
    <w:rsid w:val="7C8046C4"/>
    <w:rsid w:val="7CCF5CED"/>
    <w:rsid w:val="7DCE6D0D"/>
    <w:rsid w:val="7DFE9BBB"/>
    <w:rsid w:val="7E65D21C"/>
    <w:rsid w:val="7E6BEAA6"/>
    <w:rsid w:val="7E97C01E"/>
    <w:rsid w:val="7EBE9B2F"/>
    <w:rsid w:val="7EE5030C"/>
    <w:rsid w:val="7F5362B2"/>
    <w:rsid w:val="7F7C2043"/>
    <w:rsid w:val="7F7FBB06"/>
    <w:rsid w:val="7FBF84E9"/>
    <w:rsid w:val="7FE772A7"/>
    <w:rsid w:val="7FF7C99F"/>
    <w:rsid w:val="7FF94246"/>
    <w:rsid w:val="7FFE4467"/>
    <w:rsid w:val="8DFF8335"/>
    <w:rsid w:val="991BF1D0"/>
    <w:rsid w:val="9AFF4567"/>
    <w:rsid w:val="A9F35470"/>
    <w:rsid w:val="AAE74BC0"/>
    <w:rsid w:val="ABBFD148"/>
    <w:rsid w:val="B2DC5533"/>
    <w:rsid w:val="B9EF0B42"/>
    <w:rsid w:val="BBDE36FD"/>
    <w:rsid w:val="BCB74582"/>
    <w:rsid w:val="BD1F6677"/>
    <w:rsid w:val="BD7F41E7"/>
    <w:rsid w:val="BDFFA522"/>
    <w:rsid w:val="BEDFDA63"/>
    <w:rsid w:val="BFBB817E"/>
    <w:rsid w:val="BFE5DE20"/>
    <w:rsid w:val="BFFF9F08"/>
    <w:rsid w:val="C59FE73D"/>
    <w:rsid w:val="CB7A3404"/>
    <w:rsid w:val="CCA72E90"/>
    <w:rsid w:val="CCBF0F40"/>
    <w:rsid w:val="CF3F818C"/>
    <w:rsid w:val="CFAFF3A8"/>
    <w:rsid w:val="D17A6D10"/>
    <w:rsid w:val="D5DF7064"/>
    <w:rsid w:val="D6FF46B5"/>
    <w:rsid w:val="D8EBDB6A"/>
    <w:rsid w:val="DBBF6DA7"/>
    <w:rsid w:val="DD7B2D50"/>
    <w:rsid w:val="DD7D4E5A"/>
    <w:rsid w:val="DDFF23D6"/>
    <w:rsid w:val="DE6BCE19"/>
    <w:rsid w:val="DEFD46B1"/>
    <w:rsid w:val="DF7BE9C5"/>
    <w:rsid w:val="DF9F9D88"/>
    <w:rsid w:val="DFE6051A"/>
    <w:rsid w:val="DFFF629D"/>
    <w:rsid w:val="E17F8C47"/>
    <w:rsid w:val="E77FF149"/>
    <w:rsid w:val="E7F47CD3"/>
    <w:rsid w:val="ECFBDC13"/>
    <w:rsid w:val="EDFAA412"/>
    <w:rsid w:val="EE1D472C"/>
    <w:rsid w:val="EE7DA0B7"/>
    <w:rsid w:val="EFEFB632"/>
    <w:rsid w:val="F1FD98B7"/>
    <w:rsid w:val="F2997851"/>
    <w:rsid w:val="F2DFCF46"/>
    <w:rsid w:val="F2F93F5C"/>
    <w:rsid w:val="F3F6B791"/>
    <w:rsid w:val="F5DF850D"/>
    <w:rsid w:val="F5EFDC65"/>
    <w:rsid w:val="F67E7397"/>
    <w:rsid w:val="F71F34FA"/>
    <w:rsid w:val="F7BBBC63"/>
    <w:rsid w:val="F7F70516"/>
    <w:rsid w:val="F9DFAB05"/>
    <w:rsid w:val="FABFF8AD"/>
    <w:rsid w:val="FAFEFF05"/>
    <w:rsid w:val="FB5FB40C"/>
    <w:rsid w:val="FB7D54A4"/>
    <w:rsid w:val="FBFF391E"/>
    <w:rsid w:val="FCFB595B"/>
    <w:rsid w:val="FDAD2CBD"/>
    <w:rsid w:val="FDBB6C81"/>
    <w:rsid w:val="FDEA7275"/>
    <w:rsid w:val="FDF9CBFA"/>
    <w:rsid w:val="FE75E109"/>
    <w:rsid w:val="FED3F671"/>
    <w:rsid w:val="FEEF76C7"/>
    <w:rsid w:val="FF7D5961"/>
    <w:rsid w:val="FF9D9482"/>
    <w:rsid w:val="FFB783C7"/>
    <w:rsid w:val="FFBE86E4"/>
    <w:rsid w:val="FFBF19BB"/>
    <w:rsid w:val="FFBFE8EB"/>
    <w:rsid w:val="FFDB80AE"/>
    <w:rsid w:val="FFDC2762"/>
    <w:rsid w:val="FFDF55A1"/>
    <w:rsid w:val="FFDFA9B9"/>
    <w:rsid w:val="FFEE798E"/>
    <w:rsid w:val="FFF6765E"/>
    <w:rsid w:val="FFF9A244"/>
    <w:rsid w:val="FFFDB178"/>
    <w:rsid w:val="FFFE37DB"/>
    <w:rsid w:val="FFFF5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customStyle="1" w:styleId="11">
    <w:name w:val="Table Text"/>
    <w:basedOn w:val="1"/>
    <w:semiHidden/>
    <w:qFormat/>
    <w:uiPriority w:val="0"/>
    <w:rPr>
      <w:rFonts w:ascii="宋体" w:hAnsi="宋体" w:eastAsia="宋体" w:cs="宋体"/>
      <w:sz w:val="20"/>
      <w:szCs w:val="20"/>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一级条标题"/>
    <w:next w:val="1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4">
    <w:name w:val="段"/>
    <w:qFormat/>
    <w:uiPriority w:val="0"/>
    <w:pPr>
      <w:tabs>
        <w:tab w:val="center" w:pos="4201"/>
        <w:tab w:val="right" w:leader="dot" w:pos="9298"/>
      </w:tabs>
      <w:autoSpaceDE w:val="0"/>
      <w:autoSpaceDN w:val="0"/>
      <w:ind w:firstLine="420" w:firstLineChars="200"/>
      <w:jc w:val="both"/>
      <w:pPrChange w:id="0" w:author="宗印 崔" w:date="2024-03-13T14:43:00Z">
        <w:pPr>
          <w:autoSpaceDE w:val="0"/>
          <w:autoSpaceDN w:val="0"/>
          <w:ind w:firstLine="420" w:firstLineChars="200"/>
          <w:jc w:val="both"/>
        </w:pPr>
      </w:pPrChange>
    </w:pPr>
    <w:rPr>
      <w:rFonts w:ascii="宋体" w:hAnsi="Times New Roman" w:eastAsia="宋体" w:cs="Times New Roman"/>
      <w:sz w:val="21"/>
      <w:lang w:val="en-US" w:eastAsia="zh-CN" w:bidi="ar-SA"/>
      <w:rPrChange w:id="1" w:author="宗印 崔" w:date="2024-03-13T14:43:00Z">
        <w:rPr>
          <w:rFonts w:ascii="宋体" w:eastAsia="宋体"/>
          <w:sz w:val="21"/>
          <w:lang w:val="en-US" w:eastAsia="zh-CN" w:bidi="ar-SA"/>
        </w:rPr>
      </w:rPrChange>
    </w:rPr>
  </w:style>
  <w:style w:type="paragraph" w:customStyle="1" w:styleId="15">
    <w:name w:val="二级条标题"/>
    <w:basedOn w:val="13"/>
    <w:next w:val="14"/>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3934</Words>
  <Characters>4021</Characters>
  <Lines>1</Lines>
  <Paragraphs>1</Paragraphs>
  <TotalTime>1</TotalTime>
  <ScaleCrop>false</ScaleCrop>
  <LinksUpToDate>false</LinksUpToDate>
  <CharactersWithSpaces>4038</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2021-05-13T17:24:00Z</dcterms:created>
  <dc:creator>Windows 用户</dc:creator>
  <cp:lastModifiedBy>李佳霖</cp:lastModifiedBy>
  <cp:lastPrinted>2025-03-20T15:00:00Z</cp:lastPrinted>
  <dcterms:modified xsi:type="dcterms:W3CDTF">2026-04-24T13:14:45Z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eyJoZGlkIjoiM2Y2ODdiOWZjODc3NGFkMjJmYTA0YTIzMzg5MDg4MDYiLCJ1c2VySWQiOiIxNjcwNzQ0NzI0In0=</vt:lpwstr>
  </property>
  <property fmtid="{D5CDD505-2E9C-101B-9397-08002B2CF9AE}" pid="3" name="KSOProductBuildVer">
    <vt:lpwstr>2052-12.8.2.19550</vt:lpwstr>
  </property>
  <property fmtid="{D5CDD505-2E9C-101B-9397-08002B2CF9AE}" pid="4" name="ICV">
    <vt:lpwstr>1C0BD538B814C5F28FFAEA69AA0E4DF3_43</vt:lpwstr>
  </property>
</Properties>
</file>